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A" w:rsidRPr="00B5507A" w:rsidRDefault="003A4883" w:rsidP="00535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C2F8A0D" wp14:editId="66CFD9E1">
            <wp:simplePos x="0" y="0"/>
            <wp:positionH relativeFrom="column">
              <wp:posOffset>2607158</wp:posOffset>
            </wp:positionH>
            <wp:positionV relativeFrom="paragraph">
              <wp:posOffset>-110541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E0" w:rsidRPr="00FD1AE0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</w:t>
      </w: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5507A" w:rsidRPr="00B5507A" w:rsidRDefault="00B5507A" w:rsidP="00B55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7A" w:rsidRPr="00B5507A" w:rsidRDefault="00B5507A" w:rsidP="00B550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5507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5507A" w:rsidRPr="00B5507A" w:rsidRDefault="00B5507A" w:rsidP="00B5507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5507A" w:rsidRPr="00B5507A" w:rsidRDefault="00B5507A" w:rsidP="00B5507A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50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535420" w:rsidRPr="00B5507A" w:rsidRDefault="00764457" w:rsidP="00B55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июня 2020 г. № 522-п</w:t>
      </w:r>
    </w:p>
    <w:p w:rsidR="00B5507A" w:rsidRDefault="00B5507A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F9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F9" w:rsidRPr="00B5507A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12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</w:t>
      </w:r>
      <w:r w:rsidR="00686A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постановление</w:t>
      </w:r>
      <w:r w:rsidRPr="003B5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Городищенского муниципального района 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22 августа 2019 года </w:t>
      </w: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№728-п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6A12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</w:t>
      </w:r>
      <w:r w:rsidRPr="003B5AF9">
        <w:rPr>
          <w:sz w:val="26"/>
          <w:szCs w:val="26"/>
        </w:rPr>
        <w:t xml:space="preserve"> </w:t>
      </w: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 («дорожную карту») по</w:t>
      </w: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содействию развитию конкуренции в Городищенском муниципальном районе</w:t>
      </w:r>
    </w:p>
    <w:p w:rsidR="003B5AF9" w:rsidRPr="003B5AF9" w:rsidRDefault="003B5AF9" w:rsidP="003B5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2019-2022 годы»</w:t>
      </w:r>
    </w:p>
    <w:p w:rsidR="003B5AF9" w:rsidRPr="003B5AF9" w:rsidRDefault="003B5AF9" w:rsidP="003B5A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07A" w:rsidRPr="003B5AF9" w:rsidRDefault="00B5507A" w:rsidP="00B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5507A" w:rsidRPr="003B5AF9" w:rsidRDefault="00686A12" w:rsidP="00686A1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6A12">
        <w:rPr>
          <w:rFonts w:ascii="Times New Roman" w:eastAsia="Times New Roman" w:hAnsi="Times New Roman" w:cs="Times New Roman"/>
          <w:sz w:val="26"/>
          <w:szCs w:val="26"/>
        </w:rPr>
        <w:t>Руководствуясь статьей 20 Устава Городищенского муниципального района Волгоградской области, принятого решением Городищенской районной Думы Волгоградской области от 29 июня 2005 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 w:rsidRPr="00686A12">
        <w:rPr>
          <w:rFonts w:ascii="Times New Roman" w:eastAsia="Times New Roman" w:hAnsi="Times New Roman" w:cs="Times New Roman"/>
          <w:sz w:val="26"/>
          <w:szCs w:val="26"/>
        </w:rPr>
        <w:t xml:space="preserve"> № 847</w:t>
      </w:r>
      <w:r w:rsidR="00D91B38" w:rsidRPr="003B5AF9">
        <w:rPr>
          <w:rFonts w:ascii="Times New Roman" w:hAnsi="Times New Roman" w:cs="Times New Roman"/>
          <w:bCs/>
          <w:sz w:val="26"/>
          <w:szCs w:val="26"/>
        </w:rPr>
        <w:t>,</w:t>
      </w:r>
      <w:r w:rsidR="003B5AF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5507A" w:rsidRPr="003B5AF9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B5507A" w:rsidRPr="003B5AF9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ю:</w:t>
      </w:r>
    </w:p>
    <w:p w:rsidR="00686A12" w:rsidRDefault="00B5507A" w:rsidP="00686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B5AF9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</w:t>
      </w:r>
      <w:r w:rsid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ти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86A12" w:rsidRP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Городищенского муниципального района от 22 августа 2019 года №728-п «Об утверждении плана мероприятий («дорожную карту») по содействию развитию конкуренции в Городищенском муниципальном районе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2019-2022 </w:t>
      </w:r>
      <w:r w:rsidR="00686A12" w:rsidRP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</w:t>
      </w:r>
      <w:r w:rsidR="00686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3B5AF9" w:rsidRDefault="00686A12" w:rsidP="00686A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П</w:t>
      </w:r>
      <w:r w:rsidR="003B5AF9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роприятий («дорожную карту») по </w:t>
      </w:r>
      <w:r w:rsidR="003B5AF9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содействию развитию конкуренции в Городищенском 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ниципальном районе</w:t>
      </w:r>
      <w:r w:rsidR="00136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2019-2022 годы, </w:t>
      </w:r>
      <w:r w:rsidR="00136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названным постановлением, </w:t>
      </w:r>
      <w:r w:rsidR="001363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</w:t>
      </w:r>
      <w:r w:rsidR="003B5A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 согласно приложению.</w:t>
      </w:r>
    </w:p>
    <w:p w:rsidR="00B5507A" w:rsidRPr="003B5AF9" w:rsidRDefault="003B5AF9" w:rsidP="00072B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507A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B5507A" w:rsidRPr="003B5AF9" w:rsidRDefault="003B5AF9" w:rsidP="00B55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507A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5507A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5507A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072BA3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5507A" w:rsidRPr="003B5AF9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07A" w:rsidRPr="003B5AF9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07A" w:rsidRPr="003B5AF9" w:rsidRDefault="00B5507A" w:rsidP="00B5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07A" w:rsidRPr="003B5AF9" w:rsidRDefault="00B5507A" w:rsidP="00B5507A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507A" w:rsidRPr="003B5AF9" w:rsidRDefault="00B5507A" w:rsidP="00B5507A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Городищенского</w:t>
      </w:r>
    </w:p>
    <w:p w:rsidR="00B5507A" w:rsidRPr="003B5AF9" w:rsidRDefault="00B5507A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</w:t>
      </w:r>
      <w:r w:rsidR="00C720CD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0CD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0CD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0CD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</w:t>
      </w:r>
      <w:r w:rsidR="00FD1AE0"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А.В. Кагитин</w:t>
      </w:r>
      <w:r w:rsidRPr="003B5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4E92" w:rsidRPr="003B5AF9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E92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92" w:rsidRDefault="003E4E9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E2" w:rsidRDefault="001363E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E2" w:rsidRDefault="001363E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E2" w:rsidRDefault="001363E2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F9" w:rsidRDefault="003B5AF9" w:rsidP="00C720CD">
      <w:pPr>
        <w:tabs>
          <w:tab w:val="left" w:pos="3822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БЛАНК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 проекта постановления администрации Городищенского муниципального района</w:t>
      </w:r>
    </w:p>
    <w:p w:rsidR="003E4E92" w:rsidRPr="003E4E92" w:rsidRDefault="003E4E92" w:rsidP="003E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A12" w:rsidRPr="001363E2" w:rsidRDefault="00686A12" w:rsidP="00686A12">
      <w:pPr>
        <w:widowControl w:val="0"/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363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Городищенского муниципального района от 22 августа 2019 года №728-п </w:t>
      </w:r>
    </w:p>
    <w:p w:rsidR="00686A12" w:rsidRPr="001363E2" w:rsidRDefault="00686A12" w:rsidP="00686A12">
      <w:pPr>
        <w:widowControl w:val="0"/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363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«Об утверждении плана мероприятий («дорожную карту») по содействию развитию конкуренции в Городищенском муниципальном районе</w:t>
      </w:r>
    </w:p>
    <w:p w:rsidR="00686A12" w:rsidRPr="001363E2" w:rsidRDefault="00686A12" w:rsidP="00686A12">
      <w:pPr>
        <w:widowControl w:val="0"/>
        <w:tabs>
          <w:tab w:val="left" w:pos="10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363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2019-2022 годы»</w:t>
      </w:r>
    </w:p>
    <w:p w:rsidR="003E4E92" w:rsidRPr="003E4E92" w:rsidRDefault="001363E2" w:rsidP="00686A12">
      <w:pPr>
        <w:widowControl w:val="0"/>
        <w:tabs>
          <w:tab w:val="left" w:pos="1035"/>
        </w:tabs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3E4E92" w:rsidRPr="003E4E9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проекта</w:t>
      </w:r>
      <w:r w:rsidR="003E4E92" w:rsidRPr="003E4E92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E4E92" w:rsidRPr="003E4E92" w:rsidRDefault="003E4E92" w:rsidP="003E4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Внесено:</w:t>
      </w:r>
      <w:r w:rsidRPr="003E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E9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Локтевой О.А., заместителем начальника  отдела экономики</w:t>
      </w:r>
    </w:p>
    <w:p w:rsidR="003E4E92" w:rsidRPr="003E4E92" w:rsidRDefault="003E4E92" w:rsidP="003E4E9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4E92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 </w:t>
      </w:r>
      <w:r w:rsidRPr="003E4E92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 исполнителя, должность</w:t>
      </w:r>
      <w:r w:rsidRPr="003E4E92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3E4E92" w:rsidRPr="003E4E92" w:rsidRDefault="003E4E92" w:rsidP="003E4E92">
      <w:pPr>
        <w:autoSpaceDE w:val="0"/>
        <w:autoSpaceDN w:val="0"/>
        <w:adjustRightInd w:val="0"/>
        <w:spacing w:after="0" w:line="322" w:lineRule="exact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5078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9"/>
        <w:gridCol w:w="3047"/>
        <w:gridCol w:w="1234"/>
        <w:gridCol w:w="1264"/>
        <w:gridCol w:w="1261"/>
      </w:tblGrid>
      <w:tr w:rsidR="003E4E92" w:rsidRPr="003E4E92" w:rsidTr="00686A12">
        <w:trPr>
          <w:trHeight w:val="80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</w:t>
            </w: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  </w:t>
            </w: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по проекту  </w:t>
            </w: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E4E92" w:rsidRPr="003E4E92" w:rsidTr="00686A12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12" w:rsidRPr="003E4E92" w:rsidTr="00686A12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Титивкин Виталий Валерьевич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района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E92" w:rsidRPr="003E4E92" w:rsidTr="00686A12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E92" w:rsidRPr="003E4E92" w:rsidTr="00686A12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686A12" w:rsidP="006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92" w:rsidRPr="003E4E92" w:rsidRDefault="003E4E92" w:rsidP="006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E9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2" w:rsidRPr="003E4E92" w:rsidRDefault="003E4E92" w:rsidP="003E4E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12" w:rsidRPr="003E4E92" w:rsidTr="00686A12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Default="00686A12" w:rsidP="006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 Станислав Дмитриевич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6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68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3E4E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12" w:rsidRPr="003E4E92" w:rsidRDefault="00686A12" w:rsidP="003E4E92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E92" w:rsidRPr="003E4E92" w:rsidRDefault="003E4E9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</w:t>
      </w:r>
      <w:r w:rsidR="00686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слать: отдел экономики, на сайт, Междуречье</w:t>
      </w:r>
    </w:p>
    <w:p w:rsidR="003E4E92" w:rsidRPr="003E4E92" w:rsidRDefault="003E4E9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Default="003E4E9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2" w:rsidRDefault="001363E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2" w:rsidRDefault="001363E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E2" w:rsidRPr="003E4E92" w:rsidRDefault="001363E2" w:rsidP="003E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начальника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экономики                   _________________________</w:t>
      </w: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3E4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О.А. Локтева</w:t>
      </w: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(должность)            </w:t>
      </w: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(подпись)                                   (инициалы, фамилия)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4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3-56-85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(телефон)</w:t>
      </w: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E4E92" w:rsidRPr="003E4E92" w:rsidRDefault="003E4E92" w:rsidP="003E4E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3E4E92" w:rsidRDefault="003E4E92" w:rsidP="00C720CD">
      <w:pPr>
        <w:tabs>
          <w:tab w:val="left" w:pos="3822"/>
        </w:tabs>
        <w:spacing w:after="0" w:line="240" w:lineRule="auto"/>
        <w:ind w:right="-5"/>
        <w:rPr>
          <w:sz w:val="24"/>
          <w:szCs w:val="24"/>
        </w:rPr>
        <w:sectPr w:rsidR="003E4E92" w:rsidSect="00D91B3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45450E" w:rsidRPr="0045450E" w:rsidRDefault="0045450E" w:rsidP="0045450E">
      <w:pPr>
        <w:pStyle w:val="a7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45450E">
        <w:rPr>
          <w:sz w:val="24"/>
          <w:szCs w:val="24"/>
        </w:rPr>
        <w:lastRenderedPageBreak/>
        <w:t>ПРИЛОЖЕНИЕ</w:t>
      </w:r>
    </w:p>
    <w:p w:rsidR="0045450E" w:rsidRPr="0045450E" w:rsidRDefault="0045450E" w:rsidP="0045450E">
      <w:pPr>
        <w:pStyle w:val="a7"/>
        <w:tabs>
          <w:tab w:val="clear" w:pos="0"/>
          <w:tab w:val="left" w:pos="708"/>
        </w:tabs>
        <w:jc w:val="right"/>
        <w:rPr>
          <w:sz w:val="24"/>
          <w:szCs w:val="24"/>
        </w:rPr>
      </w:pPr>
      <w:r w:rsidRPr="0045450E">
        <w:rPr>
          <w:sz w:val="24"/>
          <w:szCs w:val="24"/>
        </w:rPr>
        <w:t xml:space="preserve">                                           к  постановлению администрации</w:t>
      </w:r>
    </w:p>
    <w:p w:rsidR="0045450E" w:rsidRDefault="0045450E" w:rsidP="0045450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50E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</w:t>
      </w:r>
    </w:p>
    <w:p w:rsidR="00D65EE1" w:rsidRDefault="00686A12" w:rsidP="0045450E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2020г № ____</w:t>
      </w:r>
    </w:p>
    <w:p w:rsidR="00E026AD" w:rsidRPr="00E026AD" w:rsidRDefault="00FC111F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6AD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051A7E" w:rsidRDefault="00FC111F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6AD">
        <w:rPr>
          <w:rFonts w:ascii="Times New Roman" w:hAnsi="Times New Roman" w:cs="Times New Roman"/>
          <w:sz w:val="24"/>
          <w:szCs w:val="24"/>
        </w:rPr>
        <w:t xml:space="preserve"> («дорожная карта»)</w:t>
      </w:r>
      <w:r w:rsidR="00D91B38">
        <w:rPr>
          <w:rFonts w:ascii="Times New Roman" w:hAnsi="Times New Roman" w:cs="Times New Roman"/>
          <w:sz w:val="24"/>
          <w:szCs w:val="24"/>
        </w:rPr>
        <w:t xml:space="preserve"> </w:t>
      </w:r>
      <w:r w:rsidR="00E026AD" w:rsidRPr="00E026AD">
        <w:rPr>
          <w:rFonts w:ascii="Times New Roman" w:hAnsi="Times New Roman" w:cs="Times New Roman"/>
          <w:sz w:val="24"/>
          <w:szCs w:val="24"/>
        </w:rPr>
        <w:t>по содействию развитию конкуренции в Городищенском муниципальном районе на 201</w:t>
      </w:r>
      <w:r w:rsidR="00295E46">
        <w:rPr>
          <w:rFonts w:ascii="Times New Roman" w:hAnsi="Times New Roman" w:cs="Times New Roman"/>
          <w:sz w:val="24"/>
          <w:szCs w:val="24"/>
        </w:rPr>
        <w:t>9</w:t>
      </w:r>
      <w:r w:rsidR="00E026AD" w:rsidRPr="00E026AD">
        <w:rPr>
          <w:rFonts w:ascii="Times New Roman" w:hAnsi="Times New Roman" w:cs="Times New Roman"/>
          <w:sz w:val="24"/>
          <w:szCs w:val="24"/>
        </w:rPr>
        <w:t>-20</w:t>
      </w:r>
      <w:r w:rsidR="00CC0555">
        <w:rPr>
          <w:rFonts w:ascii="Times New Roman" w:hAnsi="Times New Roman" w:cs="Times New Roman"/>
          <w:sz w:val="24"/>
          <w:szCs w:val="24"/>
        </w:rPr>
        <w:t>2</w:t>
      </w:r>
      <w:r w:rsidR="00295E46">
        <w:rPr>
          <w:rFonts w:ascii="Times New Roman" w:hAnsi="Times New Roman" w:cs="Times New Roman"/>
          <w:sz w:val="24"/>
          <w:szCs w:val="24"/>
        </w:rPr>
        <w:t>2</w:t>
      </w:r>
      <w:r w:rsidR="00E026AD" w:rsidRPr="00E026A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09B7" w:rsidRPr="00E026AD" w:rsidRDefault="008F09B7" w:rsidP="008F0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560"/>
        <w:gridCol w:w="1842"/>
        <w:gridCol w:w="2566"/>
        <w:gridCol w:w="2113"/>
        <w:gridCol w:w="2113"/>
      </w:tblGrid>
      <w:tr w:rsidR="00FC111F" w:rsidRPr="00E026AD" w:rsidTr="00B5507A">
        <w:tc>
          <w:tcPr>
            <w:tcW w:w="675" w:type="dxa"/>
          </w:tcPr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12" w:type="dxa"/>
          </w:tcPr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направления, мероприятия</w:t>
            </w:r>
          </w:p>
        </w:tc>
        <w:tc>
          <w:tcPr>
            <w:tcW w:w="1560" w:type="dxa"/>
          </w:tcPr>
          <w:p w:rsidR="00CF32D6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="000144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42" w:type="dxa"/>
          </w:tcPr>
          <w:p w:rsidR="0046514D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0144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DC136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566" w:type="dxa"/>
          </w:tcPr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Целевой показатель эффективности реализации мероприятия</w:t>
            </w:r>
          </w:p>
        </w:tc>
        <w:tc>
          <w:tcPr>
            <w:tcW w:w="2113" w:type="dxa"/>
          </w:tcPr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113" w:type="dxa"/>
          </w:tcPr>
          <w:p w:rsidR="00FC111F" w:rsidRPr="00DC136A" w:rsidRDefault="0096499B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6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96499B" w:rsidRPr="00E026AD" w:rsidTr="00B5507A">
        <w:tc>
          <w:tcPr>
            <w:tcW w:w="675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96499B" w:rsidRPr="00E026AD" w:rsidRDefault="0096499B" w:rsidP="00964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499B" w:rsidRPr="00DC136A" w:rsidTr="00B5507A">
        <w:tc>
          <w:tcPr>
            <w:tcW w:w="15581" w:type="dxa"/>
            <w:gridSpan w:val="7"/>
          </w:tcPr>
          <w:p w:rsidR="0096499B" w:rsidRPr="00E35F6D" w:rsidRDefault="003F5F11" w:rsidP="00E02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026AD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</w:t>
            </w:r>
            <w:r w:rsidR="0096499B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по </w:t>
            </w:r>
            <w:r w:rsidR="00E026AD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развитию конкурентной среды в Городищенском муниципальном районе</w:t>
            </w:r>
          </w:p>
        </w:tc>
      </w:tr>
      <w:tr w:rsidR="00FC111F" w:rsidRPr="00DC136A" w:rsidTr="00B5507A">
        <w:tc>
          <w:tcPr>
            <w:tcW w:w="675" w:type="dxa"/>
          </w:tcPr>
          <w:p w:rsidR="00FC111F" w:rsidRPr="00E35F6D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FC111F" w:rsidRPr="00E35F6D" w:rsidRDefault="00E026AD" w:rsidP="0042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 муниципальных закупок, а также закупок товаров, работ и услуг (далее-закупки) хозяйствующими субъектами, доля участия Городищенского муниципального района в которых составляет </w:t>
            </w:r>
            <w:r w:rsidR="004217AB" w:rsidRPr="00E35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0 и более процентов</w:t>
            </w:r>
          </w:p>
        </w:tc>
        <w:tc>
          <w:tcPr>
            <w:tcW w:w="1560" w:type="dxa"/>
          </w:tcPr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1F" w:rsidRPr="00DC136A" w:rsidTr="00B5507A">
        <w:tc>
          <w:tcPr>
            <w:tcW w:w="675" w:type="dxa"/>
          </w:tcPr>
          <w:p w:rsidR="00FC111F" w:rsidRPr="00E35F6D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2" w:type="dxa"/>
            <w:shd w:val="clear" w:color="auto" w:fill="auto"/>
          </w:tcPr>
          <w:p w:rsidR="00FC111F" w:rsidRPr="00E35F6D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Применение конкурентных процедур при осуществлении закупок для обеспечения муниципальных нужд Городищенского муниципального района</w:t>
            </w:r>
          </w:p>
        </w:tc>
        <w:tc>
          <w:tcPr>
            <w:tcW w:w="1560" w:type="dxa"/>
          </w:tcPr>
          <w:p w:rsidR="00CC0555" w:rsidRPr="00E35F6D" w:rsidRDefault="00CC0555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2BA3" w:rsidRPr="00E35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72BA3" w:rsidRPr="00E35F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C111F" w:rsidRPr="00E35F6D" w:rsidRDefault="00FC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11F" w:rsidRPr="00E35F6D" w:rsidRDefault="00CF32D6" w:rsidP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E026AD" w:rsidRPr="00E35F6D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</w:p>
        </w:tc>
        <w:tc>
          <w:tcPr>
            <w:tcW w:w="2566" w:type="dxa"/>
          </w:tcPr>
          <w:p w:rsidR="00FC111F" w:rsidRPr="00E35F6D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Доля конкурентных процедур в общем объеме закупок для обеспечения муниципальных нужд Городищенского муниципального района</w:t>
            </w:r>
          </w:p>
        </w:tc>
        <w:tc>
          <w:tcPr>
            <w:tcW w:w="2113" w:type="dxa"/>
          </w:tcPr>
          <w:p w:rsidR="00FC111F" w:rsidRPr="00E35F6D" w:rsidRDefault="00E0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не менее 30 процентов</w:t>
            </w:r>
          </w:p>
        </w:tc>
        <w:tc>
          <w:tcPr>
            <w:tcW w:w="2113" w:type="dxa"/>
          </w:tcPr>
          <w:p w:rsidR="00FC111F" w:rsidRPr="00E35F6D" w:rsidRDefault="00E026AD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закупок для обеспечения государственных нужд Городищенского муниципального района</w:t>
            </w:r>
          </w:p>
        </w:tc>
      </w:tr>
      <w:tr w:rsidR="00B745F8" w:rsidRPr="00DC136A" w:rsidTr="00B5507A">
        <w:tc>
          <w:tcPr>
            <w:tcW w:w="675" w:type="dxa"/>
          </w:tcPr>
          <w:p w:rsidR="00B745F8" w:rsidRPr="00E35F6D" w:rsidRDefault="00EA0CD4" w:rsidP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B745F8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 для муниципальных заказчиков Городищенского муниципального района</w:t>
            </w:r>
          </w:p>
        </w:tc>
        <w:tc>
          <w:tcPr>
            <w:tcW w:w="1560" w:type="dxa"/>
          </w:tcPr>
          <w:p w:rsidR="00CC0555" w:rsidRPr="00E35F6D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745F8" w:rsidRPr="00E35F6D" w:rsidRDefault="00B745F8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45F8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</w:t>
            </w:r>
          </w:p>
        </w:tc>
        <w:tc>
          <w:tcPr>
            <w:tcW w:w="2566" w:type="dxa"/>
          </w:tcPr>
          <w:p w:rsidR="00B745F8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обучающих семинаров, совещаний</w:t>
            </w:r>
          </w:p>
        </w:tc>
        <w:tc>
          <w:tcPr>
            <w:tcW w:w="2113" w:type="dxa"/>
          </w:tcPr>
          <w:p w:rsidR="00B745F8" w:rsidRPr="00E35F6D" w:rsidRDefault="003C75E1" w:rsidP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не менее чем 5 единиц</w:t>
            </w:r>
          </w:p>
        </w:tc>
        <w:tc>
          <w:tcPr>
            <w:tcW w:w="2113" w:type="dxa"/>
          </w:tcPr>
          <w:p w:rsidR="00B745F8" w:rsidRPr="00E35F6D" w:rsidRDefault="003C75E1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заказчиков Городищенского муниципального района</w:t>
            </w:r>
          </w:p>
        </w:tc>
      </w:tr>
      <w:tr w:rsidR="00B745F8" w:rsidRPr="00DC136A" w:rsidTr="00B5507A">
        <w:tc>
          <w:tcPr>
            <w:tcW w:w="675" w:type="dxa"/>
          </w:tcPr>
          <w:p w:rsidR="00B745F8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B745F8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избыточного муниципального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и снижение административных барьеров</w:t>
            </w:r>
          </w:p>
        </w:tc>
        <w:tc>
          <w:tcPr>
            <w:tcW w:w="1560" w:type="dxa"/>
          </w:tcPr>
          <w:p w:rsidR="00B745F8" w:rsidRPr="00E35F6D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45F8" w:rsidRPr="00E35F6D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B745F8" w:rsidRPr="00E35F6D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745F8" w:rsidRPr="00E35F6D" w:rsidRDefault="00B74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745F8" w:rsidRPr="00E35F6D" w:rsidRDefault="00B745F8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E1" w:rsidRPr="00DC136A" w:rsidTr="00B5507A">
        <w:tc>
          <w:tcPr>
            <w:tcW w:w="675" w:type="dxa"/>
          </w:tcPr>
          <w:p w:rsidR="003C75E1" w:rsidRPr="00E35F6D" w:rsidRDefault="003C75E1" w:rsidP="00C94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9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  <w:tc>
          <w:tcPr>
            <w:tcW w:w="1560" w:type="dxa"/>
          </w:tcPr>
          <w:p w:rsidR="00CC0555" w:rsidRPr="00E35F6D" w:rsidRDefault="002D39BC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C943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566" w:type="dxa"/>
          </w:tcPr>
          <w:p w:rsidR="003C75E1" w:rsidRPr="00E35F6D" w:rsidRDefault="00C9433B" w:rsidP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3B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>, подлежащих такой оценке</w:t>
            </w:r>
          </w:p>
        </w:tc>
        <w:tc>
          <w:tcPr>
            <w:tcW w:w="2113" w:type="dxa"/>
          </w:tcPr>
          <w:p w:rsidR="00C9433B" w:rsidRDefault="00C9433B" w:rsidP="00C94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E35F6D" w:rsidRDefault="00CC0555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="003C75E1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  <w:r w:rsidR="00486E2D" w:rsidRPr="00E35F6D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 проектов нормативных правовых актов</w:t>
            </w:r>
            <w:proofErr w:type="gramEnd"/>
            <w:r w:rsidR="00486E2D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3C75E1" w:rsidRPr="00DC136A" w:rsidTr="00B5507A">
        <w:tc>
          <w:tcPr>
            <w:tcW w:w="675" w:type="dxa"/>
          </w:tcPr>
          <w:p w:rsidR="003C75E1" w:rsidRPr="00E35F6D" w:rsidRDefault="00A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C75E1" w:rsidRPr="00E35F6D" w:rsidRDefault="00AC00A5" w:rsidP="00AC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предпринимательской деятельности</w:t>
            </w:r>
          </w:p>
        </w:tc>
        <w:tc>
          <w:tcPr>
            <w:tcW w:w="1560" w:type="dxa"/>
          </w:tcPr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E35F6D" w:rsidRDefault="003C75E1" w:rsidP="00405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55" w:rsidRPr="00DC136A" w:rsidTr="00903525">
        <w:trPr>
          <w:trHeight w:val="2900"/>
        </w:trPr>
        <w:tc>
          <w:tcPr>
            <w:tcW w:w="675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2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по вопросам предпринимательской деятельности и о ходе внедрения стандарта развития конкуренции на территории района</w:t>
            </w:r>
          </w:p>
        </w:tc>
        <w:tc>
          <w:tcPr>
            <w:tcW w:w="1560" w:type="dxa"/>
          </w:tcPr>
          <w:p w:rsidR="00CC0555" w:rsidRPr="00E35F6D" w:rsidRDefault="002D39BC" w:rsidP="00CC0555">
            <w:pPr>
              <w:jc w:val="center"/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CC0555" w:rsidRPr="00E35F6D" w:rsidRDefault="00903525" w:rsidP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2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предпринимательской деятельности и о ходе внедрения стандарта развития конкуренции на территории района</w:t>
            </w:r>
            <w:r w:rsidRPr="0090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D9" w:rsidRPr="00784ED9">
              <w:rPr>
                <w:rFonts w:ascii="Times New Roman" w:hAnsi="Times New Roman" w:cs="Times New Roman"/>
                <w:sz w:val="24"/>
                <w:szCs w:val="24"/>
              </w:rPr>
              <w:t>через СМИ и официальный сайт</w:t>
            </w:r>
          </w:p>
        </w:tc>
        <w:tc>
          <w:tcPr>
            <w:tcW w:w="2113" w:type="dxa"/>
          </w:tcPr>
          <w:p w:rsidR="00903525" w:rsidRDefault="00903525" w:rsidP="00903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E35F6D" w:rsidRDefault="00CC0555" w:rsidP="00405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предпринимательской деятельности </w:t>
            </w:r>
          </w:p>
        </w:tc>
      </w:tr>
      <w:tr w:rsidR="00CC0555" w:rsidRPr="00DC136A" w:rsidTr="00B5507A">
        <w:tc>
          <w:tcPr>
            <w:tcW w:w="675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12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видах субсидирования и поддержки, о начале приема документов через СМИ и официальный сайт</w:t>
            </w:r>
          </w:p>
        </w:tc>
        <w:tc>
          <w:tcPr>
            <w:tcW w:w="1560" w:type="dxa"/>
          </w:tcPr>
          <w:p w:rsidR="00CC0555" w:rsidRPr="00E35F6D" w:rsidRDefault="002D39BC" w:rsidP="00CC0555">
            <w:pPr>
              <w:jc w:val="center"/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CC0555"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C0555" w:rsidRPr="00E35F6D" w:rsidRDefault="00CC0555">
            <w:pPr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CC0555" w:rsidRPr="00E35F6D" w:rsidRDefault="00903525" w:rsidP="0078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2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D9" w:rsidRPr="00784ED9">
              <w:rPr>
                <w:rFonts w:ascii="Times New Roman" w:hAnsi="Times New Roman" w:cs="Times New Roman"/>
                <w:sz w:val="24"/>
                <w:szCs w:val="24"/>
              </w:rPr>
              <w:t>о видах субсидирования и поддержки, о начале приема документов через СМИ и официальный сайт</w:t>
            </w:r>
          </w:p>
        </w:tc>
        <w:tc>
          <w:tcPr>
            <w:tcW w:w="2113" w:type="dxa"/>
          </w:tcPr>
          <w:p w:rsidR="00784ED9" w:rsidRDefault="00784ED9" w:rsidP="00784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C0555" w:rsidRPr="00E35F6D" w:rsidRDefault="00CC0555" w:rsidP="00405799">
            <w:pPr>
              <w:pStyle w:val="ConsPlusNormal"/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</w:t>
            </w:r>
          </w:p>
        </w:tc>
      </w:tr>
      <w:tr w:rsidR="00CC0555" w:rsidRPr="00DC136A" w:rsidTr="00B5507A">
        <w:tc>
          <w:tcPr>
            <w:tcW w:w="675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12" w:type="dxa"/>
          </w:tcPr>
          <w:p w:rsidR="00CC0555" w:rsidRPr="00E35F6D" w:rsidRDefault="00CC0555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84ED9" w:rsidRPr="00784ED9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выставочно-ярмарочных и коммуникативных мероприятий, в том числе форумов, конференций, семинаров, </w:t>
            </w:r>
            <w:r w:rsidR="00784ED9" w:rsidRPr="0078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круглых столов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для субъектов бизнеса</w:t>
            </w:r>
          </w:p>
        </w:tc>
        <w:tc>
          <w:tcPr>
            <w:tcW w:w="1560" w:type="dxa"/>
          </w:tcPr>
          <w:p w:rsidR="00CC0555" w:rsidRPr="00E35F6D" w:rsidRDefault="002D39BC" w:rsidP="00CC0555">
            <w:pPr>
              <w:jc w:val="center"/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2019-2022 </w:t>
            </w:r>
            <w:r w:rsidR="00CC0555"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CC0555" w:rsidRPr="00E35F6D" w:rsidRDefault="00CC0555">
            <w:pPr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отдел по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сельскому хозяйству и экологии</w:t>
            </w:r>
          </w:p>
        </w:tc>
        <w:tc>
          <w:tcPr>
            <w:tcW w:w="2566" w:type="dxa"/>
          </w:tcPr>
          <w:p w:rsidR="00CC0555" w:rsidRPr="00E35F6D" w:rsidRDefault="00784ED9" w:rsidP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организованных и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>ыставочно-ярмарочных и коммуникативных мероприятий, в том числе форумов, конференций, се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>минаров, круглых столов</w:t>
            </w:r>
          </w:p>
        </w:tc>
        <w:tc>
          <w:tcPr>
            <w:tcW w:w="2113" w:type="dxa"/>
          </w:tcPr>
          <w:p w:rsidR="00CC0555" w:rsidRPr="00E35F6D" w:rsidRDefault="00784ED9" w:rsidP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5A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13" w:type="dxa"/>
          </w:tcPr>
          <w:p w:rsidR="00CC0555" w:rsidRPr="00E35F6D" w:rsidRDefault="00784ED9" w:rsidP="00405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научной и инновационной 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3C75E1" w:rsidRPr="00DC136A" w:rsidTr="00B5507A">
        <w:tc>
          <w:tcPr>
            <w:tcW w:w="675" w:type="dxa"/>
          </w:tcPr>
          <w:p w:rsidR="003C75E1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12" w:type="dxa"/>
          </w:tcPr>
          <w:p w:rsidR="003C75E1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развития конкуренции координационным советом по развитию малого и среднего предпринимательства и развитию конкуренции Городищенского муниципального района</w:t>
            </w:r>
          </w:p>
        </w:tc>
        <w:tc>
          <w:tcPr>
            <w:tcW w:w="1560" w:type="dxa"/>
          </w:tcPr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5E1" w:rsidRPr="00E35F6D" w:rsidRDefault="003C75E1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C75E1" w:rsidRPr="00E35F6D" w:rsidRDefault="003C7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6" w:rsidRPr="00DC136A" w:rsidTr="00B5507A">
        <w:tc>
          <w:tcPr>
            <w:tcW w:w="675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2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</w:t>
            </w:r>
            <w:r w:rsidR="003F5F11" w:rsidRPr="00E35F6D">
              <w:rPr>
                <w:rFonts w:ascii="Times New Roman" w:hAnsi="Times New Roman" w:cs="Times New Roman"/>
                <w:sz w:val="24"/>
                <w:szCs w:val="24"/>
              </w:rPr>
              <w:t>с:         В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ыполнением плана мероприятий («дорожной карты») по содействию развитию конкуренции в Городищенском муниципальном районе на </w:t>
            </w:r>
            <w:r w:rsidR="002D39BC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мониторинга состояния и развития конкурентной </w:t>
            </w:r>
            <w:r w:rsidR="002D39BC" w:rsidRPr="00E35F6D">
              <w:rPr>
                <w:rFonts w:ascii="Times New Roman" w:hAnsi="Times New Roman" w:cs="Times New Roman"/>
                <w:sz w:val="24"/>
                <w:szCs w:val="24"/>
              </w:rPr>
              <w:t>среды на рынках товаров и услуг</w:t>
            </w:r>
          </w:p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0555" w:rsidRPr="00E35F6D" w:rsidRDefault="00CC0555" w:rsidP="00CC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9BC" w:rsidRPr="00E35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D39BC" w:rsidRPr="00E3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D0986" w:rsidRPr="00E35F6D" w:rsidRDefault="00AD0986" w:rsidP="00051A7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E35F6D" w:rsidRDefault="00AD0986" w:rsidP="00051A7E">
            <w:pPr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784ED9" w:rsidRPr="00784ED9" w:rsidRDefault="00784ED9" w:rsidP="0078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Координационного совета: В</w:t>
            </w: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>ыполнением плана мероприятий («дорожной карты») по содействию развитию конкуренции в Городищенском муниципальном районе на 2019-2022 годы;</w:t>
            </w:r>
          </w:p>
          <w:p w:rsidR="00AD0986" w:rsidRPr="00E35F6D" w:rsidRDefault="00784ED9" w:rsidP="0078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>Результатами мониторинга состояния и развития конкурентной среды на рынках товаров и услуг</w:t>
            </w:r>
          </w:p>
        </w:tc>
        <w:tc>
          <w:tcPr>
            <w:tcW w:w="2113" w:type="dxa"/>
          </w:tcPr>
          <w:p w:rsidR="00AD0986" w:rsidRPr="00E35F6D" w:rsidRDefault="0078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5A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13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вопросу содействия развитию конкуренции в Городищенском муниципальном районе</w:t>
            </w:r>
          </w:p>
        </w:tc>
      </w:tr>
      <w:tr w:rsidR="006E2230" w:rsidRPr="00DC136A" w:rsidTr="00B5507A">
        <w:tc>
          <w:tcPr>
            <w:tcW w:w="675" w:type="dxa"/>
          </w:tcPr>
          <w:p w:rsidR="006E2230" w:rsidRPr="00E35F6D" w:rsidRDefault="006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6E2230" w:rsidRPr="00E35F6D" w:rsidRDefault="006E2230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конкурентной среды на </w:t>
            </w:r>
            <w:r w:rsidR="002D39BC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рынках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Городищенского муниципального района</w:t>
            </w:r>
            <w:r w:rsidR="002D4274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 опросов, статистической информации</w:t>
            </w:r>
          </w:p>
        </w:tc>
        <w:tc>
          <w:tcPr>
            <w:tcW w:w="1560" w:type="dxa"/>
          </w:tcPr>
          <w:p w:rsidR="006E2230" w:rsidRPr="00E35F6D" w:rsidRDefault="006E223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842" w:type="dxa"/>
          </w:tcPr>
          <w:p w:rsidR="006E2230" w:rsidRPr="00E35F6D" w:rsidRDefault="006E223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6E2230" w:rsidRPr="00E35F6D" w:rsidRDefault="00784ED9" w:rsidP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рынков, 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проведен 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2113" w:type="dxa"/>
          </w:tcPr>
          <w:p w:rsidR="006E2230" w:rsidRPr="00E35F6D" w:rsidRDefault="0078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3B5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B5AF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113" w:type="dxa"/>
          </w:tcPr>
          <w:p w:rsidR="006E2230" w:rsidRPr="00E35F6D" w:rsidRDefault="002D4274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данных для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ежегодного доклада о «Состоянии и развитии конкурентной среды на </w:t>
            </w:r>
            <w:r w:rsidR="003F5F11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рынках Городищенского муниципального района» </w:t>
            </w:r>
          </w:p>
        </w:tc>
      </w:tr>
      <w:tr w:rsidR="00AD0986" w:rsidRPr="00DC136A" w:rsidTr="00B5507A">
        <w:tc>
          <w:tcPr>
            <w:tcW w:w="675" w:type="dxa"/>
          </w:tcPr>
          <w:p w:rsidR="00AD0986" w:rsidRPr="00E35F6D" w:rsidRDefault="0075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2" w:type="dxa"/>
          </w:tcPr>
          <w:p w:rsidR="00AD0986" w:rsidRPr="00E35F6D" w:rsidRDefault="00AD0986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</w:t>
            </w:r>
            <w:r w:rsidR="007556E8" w:rsidRPr="00E35F6D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7556E8" w:rsidRPr="00E35F6D">
              <w:rPr>
                <w:rFonts w:ascii="Times New Roman" w:hAnsi="Times New Roman" w:cs="Times New Roman"/>
                <w:sz w:val="24"/>
                <w:szCs w:val="24"/>
              </w:rPr>
              <w:t>о «Состоянии и развитии конкурентной среды на</w:t>
            </w:r>
            <w:r w:rsidR="003F5F11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</w:t>
            </w:r>
            <w:r w:rsidR="007556E8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рынках Городищенского муниципального района»</w:t>
            </w:r>
          </w:p>
        </w:tc>
        <w:tc>
          <w:tcPr>
            <w:tcW w:w="1560" w:type="dxa"/>
          </w:tcPr>
          <w:p w:rsidR="00AD0986" w:rsidRPr="00E35F6D" w:rsidRDefault="007556E8" w:rsidP="0075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842" w:type="dxa"/>
          </w:tcPr>
          <w:p w:rsidR="00AD0986" w:rsidRPr="00E35F6D" w:rsidRDefault="007556E8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AD0986" w:rsidRPr="00E35F6D" w:rsidRDefault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D0986" w:rsidRPr="00E35F6D" w:rsidRDefault="003B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AD0986" w:rsidRPr="00E35F6D" w:rsidRDefault="007556E8" w:rsidP="003F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доклада о «Состоянии и развитии конкурентной среды на </w:t>
            </w:r>
            <w:r w:rsidR="003F5F11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товарных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рынках Городищенского муниципального района</w:t>
            </w:r>
            <w:r w:rsidR="00CC0555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D0986" w:rsidRPr="00DC136A" w:rsidTr="00B5507A">
        <w:tc>
          <w:tcPr>
            <w:tcW w:w="675" w:type="dxa"/>
          </w:tcPr>
          <w:p w:rsidR="00AD0986" w:rsidRPr="00E35F6D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AD0986" w:rsidRPr="00E35F6D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негосударственных социально ориентированных некоммерческих организаций (СО НКО)</w:t>
            </w:r>
          </w:p>
        </w:tc>
        <w:tc>
          <w:tcPr>
            <w:tcW w:w="1560" w:type="dxa"/>
          </w:tcPr>
          <w:p w:rsidR="00AD0986" w:rsidRPr="00E35F6D" w:rsidRDefault="00AD0986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E35F6D" w:rsidRDefault="00AD0986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AD0986" w:rsidRPr="00E35F6D" w:rsidRDefault="00AD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6" w:rsidRPr="00DC136A" w:rsidTr="00B5507A">
        <w:tc>
          <w:tcPr>
            <w:tcW w:w="675" w:type="dxa"/>
          </w:tcPr>
          <w:p w:rsidR="00AD0986" w:rsidRPr="00E35F6D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2" w:type="dxa"/>
          </w:tcPr>
          <w:p w:rsidR="00AD0986" w:rsidRPr="00E35F6D" w:rsidRDefault="002D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Использование потенциала СО НКО в решении задач социально-экономического и культурного развития района посредством конкурсного финансирования социально значимых проектов</w:t>
            </w:r>
          </w:p>
        </w:tc>
        <w:tc>
          <w:tcPr>
            <w:tcW w:w="1560" w:type="dxa"/>
          </w:tcPr>
          <w:p w:rsidR="00123BED" w:rsidRPr="00E35F6D" w:rsidRDefault="003F5F11" w:rsidP="0012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  <w:r w:rsidR="00123BED"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D0986" w:rsidRPr="00E35F6D" w:rsidRDefault="00AD0986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0986" w:rsidRPr="00E35F6D" w:rsidRDefault="008F09B7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по культуре, социальной и молодежной политике, спорту</w:t>
            </w:r>
          </w:p>
        </w:tc>
        <w:tc>
          <w:tcPr>
            <w:tcW w:w="2566" w:type="dxa"/>
          </w:tcPr>
          <w:p w:rsidR="00AD0986" w:rsidRPr="00E35F6D" w:rsidRDefault="007D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Количество СО НКО, реализующих социально значимые проекты, получивших поддержку</w:t>
            </w:r>
          </w:p>
        </w:tc>
        <w:tc>
          <w:tcPr>
            <w:tcW w:w="2113" w:type="dxa"/>
          </w:tcPr>
          <w:p w:rsidR="00AD0986" w:rsidRPr="00E35F6D" w:rsidRDefault="003C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0CD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единица</w:t>
            </w:r>
            <w:r w:rsidR="00635207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2113" w:type="dxa"/>
          </w:tcPr>
          <w:p w:rsidR="00AD0986" w:rsidRPr="00E35F6D" w:rsidRDefault="003C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Решение задач социально-экономического развития района</w:t>
            </w:r>
          </w:p>
        </w:tc>
      </w:tr>
      <w:tr w:rsidR="003F5F11" w:rsidRPr="00DC136A" w:rsidTr="00B5507A">
        <w:tc>
          <w:tcPr>
            <w:tcW w:w="675" w:type="dxa"/>
          </w:tcPr>
          <w:p w:rsidR="003F5F11" w:rsidRPr="00E35F6D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3F5F11" w:rsidRPr="00E35F6D" w:rsidRDefault="003F5F11" w:rsidP="00123B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1560" w:type="dxa"/>
          </w:tcPr>
          <w:p w:rsidR="003F5F11" w:rsidRPr="00E35F6D" w:rsidRDefault="003F5F11" w:rsidP="00123B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5F11" w:rsidRPr="00E35F6D" w:rsidRDefault="003F5F11" w:rsidP="00051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6" w:type="dxa"/>
          </w:tcPr>
          <w:p w:rsidR="003F5F11" w:rsidRPr="00E35F6D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5F11" w:rsidRPr="00E35F6D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5F11" w:rsidRPr="00E35F6D" w:rsidRDefault="003F5F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65E2" w:rsidRPr="00DC136A" w:rsidTr="00B5507A">
        <w:tc>
          <w:tcPr>
            <w:tcW w:w="675" w:type="dxa"/>
          </w:tcPr>
          <w:p w:rsidR="004F65E2" w:rsidRPr="00E35F6D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65E2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F65E2" w:rsidRPr="00E35F6D" w:rsidRDefault="004F65E2" w:rsidP="008D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ярмарочной торговли </w:t>
            </w:r>
          </w:p>
        </w:tc>
        <w:tc>
          <w:tcPr>
            <w:tcW w:w="1560" w:type="dxa"/>
          </w:tcPr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4F65E2" w:rsidRPr="00E35F6D" w:rsidRDefault="004F65E2" w:rsidP="003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в перечне мест организации ярмарок на территории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Городищенского муниципального района</w:t>
            </w:r>
          </w:p>
        </w:tc>
        <w:tc>
          <w:tcPr>
            <w:tcW w:w="2113" w:type="dxa"/>
          </w:tcPr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12 мест</w:t>
            </w:r>
          </w:p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2019год-13мест</w:t>
            </w:r>
          </w:p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2020 год-14мест</w:t>
            </w:r>
          </w:p>
          <w:p w:rsidR="004F65E2" w:rsidRPr="00E35F6D" w:rsidRDefault="004F65E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2021 год- 14 мест</w:t>
            </w:r>
          </w:p>
          <w:p w:rsidR="004F65E2" w:rsidRPr="00E35F6D" w:rsidRDefault="004F65E2" w:rsidP="004F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-15 мест</w:t>
            </w:r>
          </w:p>
        </w:tc>
        <w:tc>
          <w:tcPr>
            <w:tcW w:w="2113" w:type="dxa"/>
          </w:tcPr>
          <w:p w:rsidR="004F65E2" w:rsidRPr="00E35F6D" w:rsidRDefault="004F65E2" w:rsidP="009221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рынка сбыта товаров, работ, услуг субъектов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</w:t>
            </w:r>
          </w:p>
        </w:tc>
      </w:tr>
      <w:tr w:rsidR="00D5105E" w:rsidRPr="00DC136A" w:rsidTr="00B5507A">
        <w:tc>
          <w:tcPr>
            <w:tcW w:w="675" w:type="dxa"/>
          </w:tcPr>
          <w:p w:rsidR="00D5105E" w:rsidRPr="00E35F6D" w:rsidRDefault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2" w:type="dxa"/>
          </w:tcPr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органам исполнительной власти Волгоградской области по достижению значений ключевых показателей развития конкуренции в Волгоградской области, утвержденных постановлением Губернатора Волгоградской области от 19 ноября 2018 года № 779 «Об утверждении ключевых показателей развития конкуренции в Волгоградской области»</w:t>
            </w:r>
          </w:p>
        </w:tc>
        <w:tc>
          <w:tcPr>
            <w:tcW w:w="1560" w:type="dxa"/>
          </w:tcPr>
          <w:p w:rsidR="00D5105E" w:rsidRPr="00E35F6D" w:rsidRDefault="00D5105E" w:rsidP="00D51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01.01.2023 года</w:t>
            </w:r>
          </w:p>
        </w:tc>
        <w:tc>
          <w:tcPr>
            <w:tcW w:w="1842" w:type="dxa"/>
          </w:tcPr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 утверждены постановлением Губернатора Волгоградской области от 19 ноября 2018 года № 779</w:t>
            </w:r>
          </w:p>
        </w:tc>
        <w:tc>
          <w:tcPr>
            <w:tcW w:w="2113" w:type="dxa"/>
          </w:tcPr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целевых показателей утверждены постановлением Губернатора Волгоградской области от 19 ноября 2018 года № 779 </w:t>
            </w:r>
          </w:p>
        </w:tc>
        <w:tc>
          <w:tcPr>
            <w:tcW w:w="2113" w:type="dxa"/>
          </w:tcPr>
          <w:p w:rsidR="00D5105E" w:rsidRPr="00E35F6D" w:rsidRDefault="00D5105E" w:rsidP="0005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ключевых показателей</w:t>
            </w:r>
          </w:p>
        </w:tc>
      </w:tr>
      <w:tr w:rsidR="0045450E" w:rsidRPr="00DC136A" w:rsidTr="00B5507A">
        <w:tc>
          <w:tcPr>
            <w:tcW w:w="15581" w:type="dxa"/>
            <w:gridSpan w:val="7"/>
          </w:tcPr>
          <w:p w:rsidR="0045450E" w:rsidRPr="00E35F6D" w:rsidRDefault="00D5105E" w:rsidP="00D5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Мероприятия, направленные на содействие развитию товарных рынков </w:t>
            </w:r>
          </w:p>
        </w:tc>
      </w:tr>
      <w:tr w:rsidR="0045450E" w:rsidRPr="00DC136A" w:rsidTr="00B5507A">
        <w:tc>
          <w:tcPr>
            <w:tcW w:w="15581" w:type="dxa"/>
            <w:gridSpan w:val="7"/>
          </w:tcPr>
          <w:p w:rsidR="0045450E" w:rsidRPr="00E35F6D" w:rsidRDefault="007914F2" w:rsidP="0026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360EF" w:rsidRPr="00DC136A" w:rsidTr="00B5507A">
        <w:tc>
          <w:tcPr>
            <w:tcW w:w="15581" w:type="dxa"/>
            <w:gridSpan w:val="7"/>
          </w:tcPr>
          <w:p w:rsidR="000360EF" w:rsidRPr="000360EF" w:rsidRDefault="000360EF" w:rsidP="000360EF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ситуация и проблематика на рынке услуг розничной торговли лекарственными препаратами, медицинскими изделиями и сопутствующими товарами </w:t>
            </w:r>
          </w:p>
          <w:p w:rsidR="000360EF" w:rsidRPr="000360EF" w:rsidRDefault="000360EF" w:rsidP="000360E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01 </w:t>
            </w:r>
            <w:r w:rsidR="00B0527E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Городищенском муниципальном районе действуют 1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организаций, осуществляющих розничную торговлю лекарственными препаратами, медицинскими изделиями и сопутствующими товарами, в том числе </w:t>
            </w:r>
            <w:proofErr w:type="gramStart"/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негосударственные</w:t>
            </w:r>
            <w:proofErr w:type="gramEnd"/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(немуниципальные) – 16.</w:t>
            </w:r>
          </w:p>
          <w:p w:rsidR="000360EF" w:rsidRPr="000360EF" w:rsidRDefault="000360EF" w:rsidP="000360EF">
            <w:pPr>
              <w:spacing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360EF" w:rsidRPr="000360EF" w:rsidRDefault="000360EF" w:rsidP="000360EF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 w:rsidRPr="000360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негосударственных организаций на рынке </w:t>
            </w:r>
            <w:r w:rsidRPr="00036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 розничной торговли лекарственными препаратами, медицинскими изделиями и сопутствующими товарами </w:t>
            </w:r>
          </w:p>
          <w:p w:rsidR="000360EF" w:rsidRPr="000360EF" w:rsidRDefault="000360EF" w:rsidP="000360EF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>Ключевой показатель 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(в соответствии с методикой ФАС России - доля аптечных организаций частной формы собственности в общем количестве аптечных организаций в Волгоградской области (не хозяйствующих субъектов, а точек продаж) достигнут, и составляет по состоянию на 01.01.20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88,9</w:t>
            </w:r>
            <w:r w:rsidRPr="00036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.</w:t>
            </w:r>
            <w:proofErr w:type="gramEnd"/>
          </w:p>
          <w:p w:rsidR="000360EF" w:rsidRPr="000360EF" w:rsidRDefault="000360EF" w:rsidP="000360EF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0EF" w:rsidRPr="000360EF" w:rsidRDefault="000360EF" w:rsidP="000360EF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административных и экономических барьеров входа на рынок услуг розничной торговли лекарственными препаратами, медицинскими изделиями и сопутствующими товарами </w:t>
            </w:r>
          </w:p>
          <w:p w:rsidR="000360EF" w:rsidRPr="000360EF" w:rsidRDefault="000360EF" w:rsidP="000360EF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деятельности на рынке услуг розничной торговли лекарственными препаратами, медицинскими изделиями и сопутствующими товарами административные барьеры отсутствуют</w:t>
            </w:r>
            <w:r w:rsidRPr="00036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360EF" w:rsidRPr="00E35F6D" w:rsidRDefault="000360EF" w:rsidP="0026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0EF" w:rsidRPr="00DC136A" w:rsidTr="00B5507A">
        <w:tc>
          <w:tcPr>
            <w:tcW w:w="15581" w:type="dxa"/>
            <w:gridSpan w:val="7"/>
          </w:tcPr>
          <w:p w:rsidR="000360EF" w:rsidRPr="000360EF" w:rsidRDefault="000360EF" w:rsidP="000360EF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рынка</w:t>
            </w:r>
            <w:r w:rsidRPr="00036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124BD0" w:rsidRPr="00DC136A" w:rsidTr="00B5507A">
        <w:tc>
          <w:tcPr>
            <w:tcW w:w="675" w:type="dxa"/>
          </w:tcPr>
          <w:p w:rsidR="00124BD0" w:rsidRPr="00E35F6D" w:rsidRDefault="0012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2" w:type="dxa"/>
          </w:tcPr>
          <w:p w:rsidR="00124BD0" w:rsidRPr="00E35F6D" w:rsidRDefault="00124BD0" w:rsidP="00051A7E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присутствия государства на рынке розничной торговли лекарственными препаратами, изделиями </w:t>
            </w: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назначения и сопутствующими товарами</w:t>
            </w:r>
          </w:p>
        </w:tc>
        <w:tc>
          <w:tcPr>
            <w:tcW w:w="1560" w:type="dxa"/>
          </w:tcPr>
          <w:p w:rsidR="00124BD0" w:rsidRPr="00E35F6D" w:rsidRDefault="00124BD0" w:rsidP="00051A7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 годы</w:t>
            </w:r>
          </w:p>
        </w:tc>
        <w:tc>
          <w:tcPr>
            <w:tcW w:w="1842" w:type="dxa"/>
          </w:tcPr>
          <w:p w:rsidR="00124BD0" w:rsidRPr="00E35F6D" w:rsidRDefault="005D301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2566" w:type="dxa"/>
          </w:tcPr>
          <w:p w:rsidR="00124BD0" w:rsidRPr="00E35F6D" w:rsidRDefault="005D301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</w:t>
            </w: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2113" w:type="dxa"/>
          </w:tcPr>
          <w:p w:rsidR="00B93A6F" w:rsidRPr="00E35F6D" w:rsidRDefault="00B93A6F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-</w:t>
            </w:r>
            <w:r w:rsidR="00990B6B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  <w:p w:rsidR="00DC3C0B" w:rsidRPr="00E35F6D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2019 г. - </w:t>
            </w:r>
            <w:r w:rsidR="00B93A6F" w:rsidRPr="00E35F6D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  <w:p w:rsidR="00DC3C0B" w:rsidRPr="00E35F6D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B93A6F" w:rsidRPr="00E35F6D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DC3C0B" w:rsidRPr="00E35F6D" w:rsidRDefault="00990B6B" w:rsidP="00DC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-</w:t>
            </w:r>
            <w:r w:rsidR="00DC3C0B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A6F" w:rsidRPr="00E35F6D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  <w:p w:rsidR="00124BD0" w:rsidRPr="00E35F6D" w:rsidRDefault="00990B6B" w:rsidP="00DC3C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2022 г. - </w:t>
            </w:r>
            <w:r w:rsidR="00B93A6F" w:rsidRPr="00E35F6D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  <w:p w:rsidR="00B93A6F" w:rsidRPr="00E35F6D" w:rsidRDefault="00B93A6F" w:rsidP="00B9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3" w:type="dxa"/>
          </w:tcPr>
          <w:p w:rsidR="00124BD0" w:rsidRPr="00E35F6D" w:rsidRDefault="005D3012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конкуренции на рынке розничной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лекарственными препаратами, изделиями медицинского назначения и сопутствующими товарами</w:t>
            </w:r>
          </w:p>
        </w:tc>
      </w:tr>
      <w:tr w:rsidR="0045450E" w:rsidRPr="00DC136A" w:rsidTr="00B5507A">
        <w:tc>
          <w:tcPr>
            <w:tcW w:w="15581" w:type="dxa"/>
            <w:gridSpan w:val="7"/>
          </w:tcPr>
          <w:p w:rsidR="004F65E2" w:rsidRPr="00E35F6D" w:rsidRDefault="00187D9D" w:rsidP="00D8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4F65E2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. 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45450E" w:rsidRPr="00E35F6D" w:rsidRDefault="0045450E" w:rsidP="00C720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0FE" w:rsidRPr="00DC136A" w:rsidTr="00B5507A">
        <w:tc>
          <w:tcPr>
            <w:tcW w:w="15581" w:type="dxa"/>
            <w:gridSpan w:val="7"/>
          </w:tcPr>
          <w:p w:rsidR="00D460FE" w:rsidRPr="001703D1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bookmark252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Текущая ситуация, анализ основных проблем на рынке оказания услуг по перевозке пассажиров автомобильным транспортом</w:t>
            </w:r>
            <w:bookmarkEnd w:id="1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0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170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межмуниципальным маршрутам регулярных перевозок </w:t>
            </w:r>
          </w:p>
          <w:p w:rsidR="00D460FE" w:rsidRPr="001703D1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bookmark253"/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Перевозки пассажиров на муниципальных маршрутах осуществляют 1 хозяйствующих субъектов (индивидуальный предприниматель). За 201</w:t>
            </w:r>
            <w:r w:rsidR="005824F6"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автомобильным транспортом перевезено </w:t>
            </w:r>
            <w:r w:rsidR="001703D1"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325,5</w:t>
            </w:r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пассажиров, пассажирооборот составил </w:t>
            </w:r>
            <w:r w:rsidR="001703D1"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4881,8</w:t>
            </w:r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пасс</w:t>
            </w:r>
            <w:proofErr w:type="gramStart"/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703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Доля хозяйствующих субъектов частной формы собственности на рынке оказания услуг по перевозке пассажиров автомобильным транспортом</w:t>
            </w:r>
            <w:bookmarkEnd w:id="2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60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муниципальным маршрутам регулярных перевозок 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маршруты Городищенского района Волгоградской области обслуживают 1 перевозчик, из которых 1 негосударственный перевозчик (100%).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реализованных на рынке оказания услуг по перевозке пассажиров автомобильным транспортом по 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с распределением на реализованные товары, работы, услуги (количество перевезенных пассажиров) в натуральном выражении хозяйствующими субъектами частного сектора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реализованные товары, работы, услуги (количество перевезенных пассажиров) в натуральном выражении хозяйствующими субъектами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государственным</w:t>
            </w:r>
            <w:proofErr w:type="gramEnd"/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муниципальным участием (т.е. доля пассажиров, перевезенных субъектами малого предпринимательства по муниципальным маршрутам в общем количестве перевезенных пассажиров по муниципальным маршрутам) составил 100%.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bookmark254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Оценка состояния конкурентной среды </w:t>
            </w:r>
            <w:bookmarkEnd w:id="3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на рынке оказания услуг по перевозке пассажиров автомобильным транспортом </w:t>
            </w:r>
            <w:r w:rsidRPr="00D460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муниципальным маршрутам регулярных перевозок 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Пользовател</w:t>
            </w:r>
            <w:r w:rsidR="004045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 коммерческого наземного транспорта удовлетворены имеющейся у них возможностью выбора. К ключевым критериям выбора перевозчика относятся частота рейсов, стоимость услуги, состояние транспортного средства и качество работы водителей.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bookmark255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Характерные особенности рынка</w:t>
            </w:r>
            <w:bookmarkEnd w:id="4"/>
            <w:r w:rsidRPr="00D460F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оказания услуг по перевозке пассажиров автомобильным транспортом </w:t>
            </w:r>
            <w:r w:rsidRPr="00D460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муниципальным маршрутам регулярных перевозок 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Особенностью рынка оказания услуг по перевозке пассажиров автомобильным транспортом по муниципальным маршрутам Городищенского района является территориальное близлежащее распо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ложение Городищенского района к </w:t>
            </w: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Волгограду. Таким образом, основную долю рынка занимают перевозчики по межмуниципальным маршрутам.</w:t>
            </w: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0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административных и экономических барьеров входа на 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0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Проблемы, препятствующие развитию конкуренции на рынке оказания услуг по перевозке пассажиров автомобильным транспортом по муниципальным маршрутам регулярных перевозок, отсутствуют.</w:t>
            </w:r>
          </w:p>
        </w:tc>
      </w:tr>
      <w:tr w:rsidR="00D460FE" w:rsidRPr="00DC136A" w:rsidTr="00B5507A">
        <w:tc>
          <w:tcPr>
            <w:tcW w:w="15581" w:type="dxa"/>
            <w:gridSpan w:val="7"/>
          </w:tcPr>
          <w:p w:rsidR="00D460FE" w:rsidRPr="00D460FE" w:rsidRDefault="00D460FE" w:rsidP="00D460F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D46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содействие развитию рынка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17413" w:rsidRPr="00DC136A" w:rsidTr="00B5507A">
        <w:tc>
          <w:tcPr>
            <w:tcW w:w="675" w:type="dxa"/>
          </w:tcPr>
          <w:p w:rsidR="00717413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413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D80C00" w:rsidRPr="009A2548" w:rsidRDefault="00D80C00" w:rsidP="00D8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негосударственного сектора в сфере оказания  услуг </w:t>
            </w:r>
          </w:p>
          <w:p w:rsidR="00717413" w:rsidRPr="00E35F6D" w:rsidRDefault="00D80C00" w:rsidP="00D80C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560" w:type="dxa"/>
          </w:tcPr>
          <w:p w:rsidR="00717413" w:rsidRPr="00E35F6D" w:rsidRDefault="00717413" w:rsidP="00051A7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 годы</w:t>
            </w:r>
          </w:p>
        </w:tc>
        <w:tc>
          <w:tcPr>
            <w:tcW w:w="1842" w:type="dxa"/>
          </w:tcPr>
          <w:p w:rsidR="00717413" w:rsidRPr="00E35F6D" w:rsidRDefault="00717413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 и ЖКХ</w:t>
            </w:r>
          </w:p>
        </w:tc>
        <w:tc>
          <w:tcPr>
            <w:tcW w:w="2566" w:type="dxa"/>
          </w:tcPr>
          <w:p w:rsidR="00717413" w:rsidRPr="00E35F6D" w:rsidRDefault="00D80C00" w:rsidP="00051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113" w:type="dxa"/>
          </w:tcPr>
          <w:p w:rsidR="009A2548" w:rsidRPr="009A2548" w:rsidRDefault="00720E44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- 1</w:t>
            </w:r>
            <w:r w:rsidR="009A2548" w:rsidRPr="009A2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A2548" w:rsidRPr="009A2548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9A2548" w:rsidRPr="009A2548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9A2548" w:rsidRPr="009A2548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717413" w:rsidRPr="00E35F6D" w:rsidRDefault="009A2548" w:rsidP="009A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72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5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717413" w:rsidRPr="00E35F6D" w:rsidRDefault="00D80C0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увеличение доли присутствия негосударственного сектора в сфере оказания 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5450E" w:rsidRPr="00DC136A" w:rsidTr="00B5507A">
        <w:tc>
          <w:tcPr>
            <w:tcW w:w="15581" w:type="dxa"/>
            <w:gridSpan w:val="7"/>
          </w:tcPr>
          <w:p w:rsidR="0045450E" w:rsidRPr="00E35F6D" w:rsidRDefault="00187D9D" w:rsidP="00D80C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C00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7413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EC46CB" w:rsidRPr="00DC136A" w:rsidTr="00B5507A">
        <w:tc>
          <w:tcPr>
            <w:tcW w:w="15581" w:type="dxa"/>
            <w:gridSpan w:val="7"/>
          </w:tcPr>
          <w:p w:rsidR="00EC46CB" w:rsidRPr="00EC46CB" w:rsidRDefault="00EC46CB" w:rsidP="00EC46C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ситуация, анализ основных проблем на рынке услуг</w:t>
            </w: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ремонту автотранспортных средств   </w:t>
            </w: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EC46CB" w:rsidRPr="00EC46CB" w:rsidRDefault="00EC46CB" w:rsidP="00EC46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мониторинга потребительского рынка Городищенского муниципального района администрациями городских и сельских поселений района предоставлены сведения о том, что в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дищенском районе функционирует </w:t>
            </w: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оказывающих услуги по ремонту автотранспортных средств.</w:t>
            </w:r>
          </w:p>
          <w:p w:rsidR="00EC46CB" w:rsidRPr="00EC46CB" w:rsidRDefault="00EC46CB" w:rsidP="00EC46CB">
            <w:pPr>
              <w:ind w:firstLine="709"/>
              <w:jc w:val="both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</w:p>
          <w:p w:rsidR="00EC46CB" w:rsidRPr="00EC46CB" w:rsidRDefault="00EC46CB" w:rsidP="00EC46CB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 w:rsidRPr="00EC46C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негосударственных организаций на рынке </w:t>
            </w:r>
            <w:r w:rsidR="00E16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  по ремонту </w:t>
            </w: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автотранспортных средств </w:t>
            </w:r>
          </w:p>
          <w:p w:rsidR="00EC46CB" w:rsidRPr="00EC46CB" w:rsidRDefault="00EC46CB" w:rsidP="00EC46C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мониторинга, доля присутствия частного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виде услуг составляет 100 процентов.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Ключевой показатель доля организаций частной формы собственности в сфере услуг  по ремонту автотранспортных средств в Городищенском районе </w:t>
            </w:r>
            <w:proofErr w:type="gramStart"/>
            <w:r w:rsidRPr="00EC46CB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</w:t>
            </w:r>
            <w:proofErr w:type="gramEnd"/>
            <w:r w:rsidRPr="00EC4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составляет 100 %.</w:t>
            </w:r>
          </w:p>
          <w:p w:rsidR="00EC46CB" w:rsidRPr="00EC46CB" w:rsidRDefault="00EC46CB" w:rsidP="00EC46CB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6CB" w:rsidRPr="00EC46CB" w:rsidRDefault="00EC46CB" w:rsidP="00EC46CB">
            <w:pPr>
              <w:spacing w:line="21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Характерные особенности рынка услуг  по ремонту автотранспортных средств </w:t>
            </w:r>
          </w:p>
          <w:p w:rsidR="00EC46CB" w:rsidRPr="00EC46CB" w:rsidRDefault="00EC46CB" w:rsidP="00EC46C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6CB">
              <w:rPr>
                <w:rFonts w:ascii="Times New Roman" w:eastAsia="Calibri" w:hAnsi="Times New Roman" w:cs="Times New Roman"/>
                <w:sz w:val="24"/>
                <w:szCs w:val="24"/>
              </w:rPr>
              <w:t>Любое физическое или юридическое лицо может начать деятельность по оказанию услуг по ремонту автотранспортных средств. Администрация Городищенского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6CB">
              <w:rPr>
                <w:rFonts w:ascii="Times New Roman" w:eastAsia="Calibri" w:hAnsi="Times New Roman" w:cs="Times New Roman"/>
                <w:sz w:val="24"/>
                <w:szCs w:val="24"/>
              </w:rPr>
              <w:t>не оказывает влияния на открытие новых  мастерских, оказывающих услуги  по ремонту автотранспортных средств.</w:t>
            </w:r>
          </w:p>
          <w:p w:rsidR="00EC46CB" w:rsidRPr="00EC46CB" w:rsidRDefault="00EC46CB" w:rsidP="00EC46CB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6CB" w:rsidRPr="00EC46CB" w:rsidRDefault="00EC46CB" w:rsidP="00EC46CB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административных и экономических барьеров входа на рынок усл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  по ремонту автотранспортных </w:t>
            </w:r>
            <w:r w:rsidRPr="00EC4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 </w:t>
            </w:r>
          </w:p>
          <w:p w:rsidR="00EC46CB" w:rsidRPr="00EC46CB" w:rsidRDefault="00EC46CB" w:rsidP="00EC46C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Административные </w:t>
            </w:r>
            <w:r w:rsidRPr="00EC4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барьеры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  <w:r w:rsidRPr="00EC46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рынке рынок услуг  по ремонту автотранспортных средств отсутствуют.</w:t>
            </w:r>
          </w:p>
          <w:p w:rsidR="00EC46CB" w:rsidRDefault="00EC46CB" w:rsidP="00D8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6CB" w:rsidRPr="00DC136A" w:rsidTr="00B5507A">
        <w:tc>
          <w:tcPr>
            <w:tcW w:w="15581" w:type="dxa"/>
            <w:gridSpan w:val="7"/>
          </w:tcPr>
          <w:p w:rsidR="00EC46CB" w:rsidRDefault="00EC46CB" w:rsidP="00D80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рынка</w:t>
            </w:r>
            <w:r>
              <w:t xml:space="preserve"> </w:t>
            </w:r>
            <w:r w:rsidRPr="00EC46CB">
              <w:rPr>
                <w:rFonts w:ascii="Times New Roman" w:hAnsi="Times New Roman" w:cs="Times New Roman"/>
                <w:b/>
                <w:sz w:val="24"/>
                <w:szCs w:val="24"/>
              </w:rPr>
              <w:t>услуг  по ремонту автотранспортных средств</w:t>
            </w:r>
          </w:p>
        </w:tc>
      </w:tr>
      <w:tr w:rsidR="004D54BF" w:rsidRPr="00DC136A" w:rsidTr="00B5507A">
        <w:tc>
          <w:tcPr>
            <w:tcW w:w="675" w:type="dxa"/>
          </w:tcPr>
          <w:p w:rsidR="004D54BF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4BF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негосударственного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на рынке оказания услуг по ремонту автотранспортных средств</w:t>
            </w:r>
          </w:p>
        </w:tc>
        <w:tc>
          <w:tcPr>
            <w:tcW w:w="1560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2019 - 2022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42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2566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присутствия на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ремонта автотранспортных средств экономики частного бизнеса</w:t>
            </w:r>
            <w:r w:rsidR="00FE177B" w:rsidRPr="00E35F6D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113" w:type="dxa"/>
          </w:tcPr>
          <w:p w:rsidR="004D54BF" w:rsidRPr="00E35F6D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– 100</w:t>
            </w:r>
          </w:p>
          <w:p w:rsidR="004D54BF" w:rsidRPr="00E35F6D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- 100</w:t>
            </w:r>
          </w:p>
          <w:p w:rsidR="004D54BF" w:rsidRPr="00E35F6D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4D54BF" w:rsidRPr="00E35F6D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4D54BF" w:rsidRPr="00E35F6D" w:rsidRDefault="004D54BF" w:rsidP="00E3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2022 г. -</w:t>
            </w:r>
            <w:r w:rsidR="0072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3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Поддержание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негосударственного сектора на рынке оказания услуг по ремонту автотранспортных средств</w:t>
            </w:r>
          </w:p>
        </w:tc>
      </w:tr>
      <w:tr w:rsidR="004D54BF" w:rsidRPr="00DC136A" w:rsidTr="00B5507A">
        <w:tc>
          <w:tcPr>
            <w:tcW w:w="675" w:type="dxa"/>
          </w:tcPr>
          <w:p w:rsidR="004D54BF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54BF" w:rsidRPr="00E35F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  </w:t>
            </w:r>
          </w:p>
          <w:p w:rsidR="004D54BF" w:rsidRPr="00E35F6D" w:rsidRDefault="004D54BF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реестра участников,</w:t>
            </w:r>
            <w:r w:rsidR="00FE177B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на рынке</w:t>
            </w:r>
            <w:r w:rsidR="00FE177B"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1560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2019 - 2022 годы</w:t>
            </w:r>
          </w:p>
        </w:tc>
        <w:tc>
          <w:tcPr>
            <w:tcW w:w="1842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 целью актуализации реестра участников, осуществляющих деятельность на рынке</w:t>
            </w:r>
          </w:p>
          <w:p w:rsidR="004D54BF" w:rsidRPr="00E35F6D" w:rsidRDefault="004D54BF" w:rsidP="004D54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оказания услуг по ремонту автотранспортных средств</w:t>
            </w:r>
          </w:p>
        </w:tc>
        <w:tc>
          <w:tcPr>
            <w:tcW w:w="2113" w:type="dxa"/>
          </w:tcPr>
          <w:p w:rsidR="004D54BF" w:rsidRPr="00E35F6D" w:rsidRDefault="004D54BF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4D54BF" w:rsidRPr="00E35F6D" w:rsidRDefault="004D54BF" w:rsidP="00051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Поддержание развития конкурентоспособности предприятий, занятых на рынке оказания услуг по ремонту автотранспортных средств</w:t>
            </w:r>
          </w:p>
        </w:tc>
      </w:tr>
      <w:tr w:rsidR="00FE177B" w:rsidRPr="00DC136A" w:rsidTr="00B5507A">
        <w:tc>
          <w:tcPr>
            <w:tcW w:w="15581" w:type="dxa"/>
            <w:gridSpan w:val="7"/>
          </w:tcPr>
          <w:p w:rsidR="0045450E" w:rsidRPr="00E35F6D" w:rsidRDefault="00187D9D" w:rsidP="0015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54118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. Рынок услуг связи по предоставлению широкополосного доступа к сети Интернет</w:t>
            </w:r>
          </w:p>
        </w:tc>
      </w:tr>
      <w:tr w:rsidR="000C48F0" w:rsidRPr="00DC136A" w:rsidTr="00B5507A">
        <w:tc>
          <w:tcPr>
            <w:tcW w:w="15581" w:type="dxa"/>
            <w:gridSpan w:val="7"/>
          </w:tcPr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ситуация, анализ основных проблем на рынке услуг связи, в том числе услуг по предоставлению широкополосного доступа к информационно-телекоммуникационной сети "Интернет" </w:t>
            </w:r>
          </w:p>
          <w:p w:rsidR="000C48F0" w:rsidRPr="000C48F0" w:rsidRDefault="000C48F0" w:rsidP="000C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 xml:space="preserve">Крупным поставщиком услуг связи в пределах Городищенского муниципального района, а также документальной связи, в том числе Интернет, и других видов  услуг является ПАО «Ростелеком», основой тарифной политики которого остаются доступные цены, прозрачные тарифы, широкий спектр услуг, не требующих дополнительной оплаты. Данное предприятие связи обеспечивает возможность доступа к средствам связи жителей во всех населенных пунктах Городищенского муниципального района.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 xml:space="preserve">В 2020 - 2022 годах на телекоммуникационном рынке базовым поставщиком услуг местной, междугородной, международной телефонной связи, а также документальной связи, в том числе Интернет, и других видов  услуг останется  ПАО «Ростелеком». </w:t>
            </w: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>.Количество хозяйствующих субъектов частной формы собственности на рынке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0C48F0" w:rsidRPr="000C48F0" w:rsidRDefault="000C48F0" w:rsidP="000C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связи, в том числе услуг по предоставлению широкополосного доступа к информационно-телекоммуникационной сети "Интернет" в Городищенским муниципальном районе составляет 100 %.</w:t>
            </w: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конкурентной среды на рынке услуг связи, в том числе услуг по предоставлению широкополосного доступа </w:t>
            </w: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информационно-телекоммуникационной сети "Интернет" </w:t>
            </w:r>
          </w:p>
          <w:p w:rsidR="000C48F0" w:rsidRPr="000C48F0" w:rsidRDefault="000C48F0" w:rsidP="000C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Стоит отметить, что определенный интерес для операторов связи представляют высотные объекты (вышки ОРТПЦ), не находящиеся в собственности Городищенского района, предоставление которых не могут регулироваться муниципальными правовыми актами.</w:t>
            </w: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Характерные особенности рынка услуг связи, в том числе услуг </w:t>
            </w:r>
          </w:p>
          <w:p w:rsidR="000C48F0" w:rsidRP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предоставлению широкополосного доступа к информационно-телекоммуникационной сети "Интернет" </w:t>
            </w:r>
          </w:p>
          <w:p w:rsidR="000C48F0" w:rsidRPr="000C48F0" w:rsidRDefault="000C48F0" w:rsidP="000C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Большую часть рынка Городищенского муниципального района занимают услуги коммутированного широкополосного доступа к сети Интернет. Крупнейшие операторы, действующие на территории района, предоставляющие услуги широкополосного доступа к сети Интернет: публичное акционерное общество (далее именуется - ПАО) "МегаФон", ПАО "ВымпелКом", ПАО "МТС", ПАО "Ростелеком". Мобильный широкополосный доступ к сети Интернет осуществляется сотовыми операторами связи ПАО "МегаФон", ПАО "ВымпелКом", ПАО "МТС", ООО "Т</w:t>
            </w:r>
            <w:proofErr w:type="gramStart"/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C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". В соответствии с Федеральным законом от 03 февраля 2014 г. № 9-ФЗ "О внесении изменений в Федеральный закон "О связи", в 2015 году завершился первый этап мероприятий по обеспечению широкополосным доступом к сети Интернет сельских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аселенных пунктов численностью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 xml:space="preserve">от 250 до 500 жителей. </w:t>
            </w:r>
          </w:p>
          <w:p w:rsidR="000C48F0" w:rsidRDefault="000C48F0" w:rsidP="000C4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 основных административных и экономических барьеров входа на рынок услуг связи, в том числе услуг по </w:t>
            </w:r>
            <w:r w:rsidR="00E16F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C4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редоставлению широкополосного доступа к информационно-телекоммуникационной сети "Интернет" </w:t>
            </w:r>
          </w:p>
          <w:p w:rsidR="000C48F0" w:rsidRPr="000C48F0" w:rsidRDefault="000C48F0" w:rsidP="000C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48F0">
              <w:rPr>
                <w:rFonts w:ascii="Times New Roman" w:hAnsi="Times New Roman" w:cs="Times New Roman"/>
                <w:sz w:val="24"/>
                <w:szCs w:val="24"/>
              </w:rPr>
              <w:t>Административные и экономические барьеры входа на рынок услуг связи, в том числе услуг по предоставлению широкополосного доступа к информационно-телекоммуникационной сети "Интернет" отсутствуют.</w:t>
            </w:r>
          </w:p>
        </w:tc>
      </w:tr>
      <w:tr w:rsidR="000C48F0" w:rsidRPr="00DC136A" w:rsidTr="00B5507A">
        <w:tc>
          <w:tcPr>
            <w:tcW w:w="15581" w:type="dxa"/>
            <w:gridSpan w:val="7"/>
          </w:tcPr>
          <w:p w:rsidR="000C48F0" w:rsidRDefault="00827B36" w:rsidP="0015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содействие развитию рынка</w:t>
            </w:r>
            <w:r>
              <w:t xml:space="preserve"> </w:t>
            </w:r>
            <w:r w:rsidRPr="00827B36">
              <w:rPr>
                <w:rFonts w:ascii="Times New Roman" w:hAnsi="Times New Roman" w:cs="Times New Roman"/>
                <w:b/>
                <w:sz w:val="24"/>
                <w:szCs w:val="24"/>
              </w:rPr>
              <w:t>услуг связи по предоставлению широкополосного доступа к сети Интернет</w:t>
            </w:r>
          </w:p>
        </w:tc>
      </w:tr>
      <w:tr w:rsidR="00FE177B" w:rsidRPr="00DC136A" w:rsidTr="00B5507A">
        <w:tc>
          <w:tcPr>
            <w:tcW w:w="675" w:type="dxa"/>
          </w:tcPr>
          <w:p w:rsidR="00FE177B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77B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FE177B" w:rsidRPr="00E35F6D" w:rsidRDefault="00FE177B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негосударственного сектора в сфере услуг связи, в том числе услуг 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FE177B" w:rsidRPr="00E35F6D" w:rsidRDefault="00FE177B" w:rsidP="00FE1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</w:p>
        </w:tc>
        <w:tc>
          <w:tcPr>
            <w:tcW w:w="1842" w:type="dxa"/>
          </w:tcPr>
          <w:p w:rsidR="00FE177B" w:rsidRPr="00E35F6D" w:rsidRDefault="00FE177B" w:rsidP="00FE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566" w:type="dxa"/>
          </w:tcPr>
          <w:p w:rsidR="00FE177B" w:rsidRPr="00E35F6D" w:rsidRDefault="00FE177B" w:rsidP="00051A7E">
            <w:pPr>
              <w:pStyle w:val="a4"/>
              <w:spacing w:before="0" w:beforeAutospacing="0" w:after="0" w:line="216" w:lineRule="auto"/>
              <w:jc w:val="both"/>
            </w:pPr>
            <w:r w:rsidRPr="00E35F6D"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 сети "Интернет", процентов</w:t>
            </w:r>
          </w:p>
        </w:tc>
        <w:tc>
          <w:tcPr>
            <w:tcW w:w="2113" w:type="dxa"/>
          </w:tcPr>
          <w:p w:rsidR="00FE177B" w:rsidRPr="00E35F6D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sz w:val="24"/>
                <w:szCs w:val="24"/>
              </w:rPr>
              <w:t>2018 г. - 100</w:t>
            </w:r>
          </w:p>
          <w:p w:rsidR="00FE177B" w:rsidRPr="00E35F6D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sz w:val="24"/>
                <w:szCs w:val="24"/>
              </w:rPr>
              <w:t>2019 г. - 100</w:t>
            </w:r>
          </w:p>
          <w:p w:rsidR="00FE177B" w:rsidRPr="00E35F6D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sz w:val="24"/>
                <w:szCs w:val="24"/>
              </w:rPr>
              <w:t>2020 г. - 100</w:t>
            </w:r>
          </w:p>
          <w:p w:rsidR="00FE177B" w:rsidRPr="00E35F6D" w:rsidRDefault="00FE177B" w:rsidP="00FE177B">
            <w:pPr>
              <w:pStyle w:val="3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sz w:val="24"/>
                <w:szCs w:val="24"/>
              </w:rPr>
              <w:t>2021 г. - 100</w:t>
            </w:r>
          </w:p>
          <w:p w:rsidR="00FE177B" w:rsidRPr="00E35F6D" w:rsidRDefault="00FE177B" w:rsidP="00FE177B">
            <w:pPr>
              <w:pStyle w:val="3"/>
              <w:shd w:val="clear" w:color="auto" w:fill="auto"/>
              <w:spacing w:line="274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FE177B" w:rsidRPr="00E35F6D" w:rsidRDefault="00FE177B" w:rsidP="00FE177B">
            <w:pPr>
              <w:pStyle w:val="a4"/>
              <w:spacing w:before="0" w:beforeAutospacing="0" w:after="0" w:line="216" w:lineRule="auto"/>
            </w:pPr>
            <w:r w:rsidRPr="00E35F6D">
              <w:t xml:space="preserve">поддержание  доли негосударственного сектора в сфере услуг </w:t>
            </w:r>
            <w:r w:rsidRPr="00E35F6D">
              <w:rPr>
                <w:bCs/>
              </w:rPr>
              <w:t>связи, в том числе услуг  по предоставлению широкополосного доступа к информационно-телекоммуникационной сети "Интернет"</w:t>
            </w:r>
          </w:p>
        </w:tc>
      </w:tr>
      <w:tr w:rsidR="006372F0" w:rsidRPr="00DC136A" w:rsidTr="00051A7E">
        <w:tc>
          <w:tcPr>
            <w:tcW w:w="15581" w:type="dxa"/>
            <w:gridSpan w:val="7"/>
          </w:tcPr>
          <w:p w:rsidR="006372F0" w:rsidRPr="00E35F6D" w:rsidRDefault="00187D9D" w:rsidP="006372F0">
            <w:pPr>
              <w:pStyle w:val="a4"/>
              <w:spacing w:before="0" w:beforeAutospacing="0" w:after="0" w:line="21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72F0" w:rsidRPr="00E35F6D">
              <w:rPr>
                <w:b/>
              </w:rPr>
              <w:t>. Рынок жилищного строительства</w:t>
            </w:r>
          </w:p>
        </w:tc>
      </w:tr>
      <w:tr w:rsidR="00E16FA4" w:rsidRPr="00DC136A" w:rsidTr="00051A7E">
        <w:tc>
          <w:tcPr>
            <w:tcW w:w="15581" w:type="dxa"/>
            <w:gridSpan w:val="7"/>
          </w:tcPr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Текущая ситуация, анализ основных проблем на рынке жилищного строительства </w:t>
            </w:r>
          </w:p>
          <w:p w:rsidR="00E16FA4" w:rsidRPr="00E16FA4" w:rsidRDefault="009D7722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01.01.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года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Городищ</w:t>
            </w:r>
            <w:r w:rsid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енского муниципального введено 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эксплуатацию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30,889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жилья, в том числе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29,737</w:t>
            </w:r>
            <w:r w:rsidR="00E16FA4" w:rsidRPr="00E16FA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м2 – индивидуального. Рост к 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прошлого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139,3</w:t>
            </w:r>
            <w:r w:rsidR="00E16FA4"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.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Доля хозяйствующих субъектов частной формы собственности на рынке жилищного строительства 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жилищного строительства по состоянию на 01 января 20</w:t>
            </w:r>
            <w:r w:rsidR="009D77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составляет 100%.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Оценка состояния конкурентной среды на рынке жилищного строительства 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данным Волгоградстата основными факторами, сдерживающими строительную отрасль, являются: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уровень налогов – 55%,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высокая стоимость материалов, конструкций, изделий – 38%,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недостаток финансирования – 33%,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конкуренция со стороны других строительных фирм – 25%,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недостаток заказов на работы – 21%,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неплатежеспособность заказчиков – 20%,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процент коммерческого кредита – 11%,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недостаток квалифицированных рабочих мест – 7%.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Характерные особенности рынка жилищного строительства 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Приоритет отдан комплексному освоению территории со всей инфраструктурой.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Сегодня акцент сделан не только на росте объемов жилищного строительства, но и создании комфортной городской среды со всеми видами благоустройства.</w:t>
            </w:r>
          </w:p>
          <w:p w:rsidR="00E16FA4" w:rsidRPr="00E16FA4" w:rsidRDefault="00E16FA4" w:rsidP="00E16F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6F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административных и экономических барьеров входа на рынок жилищного строительства </w:t>
            </w:r>
          </w:p>
          <w:p w:rsidR="00E16FA4" w:rsidRDefault="00E16FA4" w:rsidP="00E16FA4">
            <w:pPr>
              <w:pStyle w:val="a4"/>
              <w:spacing w:before="0" w:beforeAutospacing="0" w:after="0" w:line="216" w:lineRule="auto"/>
              <w:jc w:val="both"/>
              <w:rPr>
                <w:b/>
              </w:rPr>
            </w:pPr>
            <w:proofErr w:type="gramStart"/>
            <w:r w:rsidRPr="00E16FA4">
              <w:rPr>
                <w:rFonts w:eastAsia="Calibri"/>
                <w:bCs/>
              </w:rPr>
              <w:t>В целях снижения административной нагрузки на застройщиков принято постановление Администрации Волгоградской области от 27.08.2018г. № 373-п "Об установлении иных, кроме указанных в Градостроительном кодекс</w:t>
            </w:r>
            <w:r w:rsidR="00404584">
              <w:rPr>
                <w:rFonts w:eastAsia="Calibri"/>
                <w:bCs/>
              </w:rPr>
              <w:t>е Российской Федерации, случаев</w:t>
            </w:r>
            <w:r w:rsidRPr="00E16FA4">
              <w:rPr>
                <w:rFonts w:eastAsia="Calibri"/>
                <w:bCs/>
              </w:rPr>
              <w:t xml:space="preserve"> при которых не требуется получение разрешения на строительство на территории Волгоградской области".</w:t>
            </w:r>
            <w:proofErr w:type="gramEnd"/>
            <w:r w:rsidRPr="00E16FA4">
              <w:rPr>
                <w:rFonts w:eastAsia="Calibri"/>
                <w:bCs/>
              </w:rPr>
              <w:t xml:space="preserve"> Среди таких случаев – строительство, реконструкция линейных объектов, обеспечивающих подключение (технологическое присоединение) объектов капитального строительства к существующим сетям</w:t>
            </w:r>
            <w:r>
              <w:rPr>
                <w:rFonts w:eastAsia="Calibri"/>
                <w:bCs/>
              </w:rPr>
              <w:t>.</w:t>
            </w:r>
          </w:p>
        </w:tc>
      </w:tr>
      <w:tr w:rsidR="00E16FA4" w:rsidRPr="00DC136A" w:rsidTr="00051A7E">
        <w:tc>
          <w:tcPr>
            <w:tcW w:w="15581" w:type="dxa"/>
            <w:gridSpan w:val="7"/>
          </w:tcPr>
          <w:p w:rsidR="00E16FA4" w:rsidRDefault="00E16FA4" w:rsidP="006372F0">
            <w:pPr>
              <w:pStyle w:val="a4"/>
              <w:spacing w:before="0" w:beforeAutospacing="0" w:after="0" w:line="216" w:lineRule="auto"/>
              <w:jc w:val="center"/>
              <w:rPr>
                <w:b/>
              </w:rPr>
            </w:pPr>
            <w:r w:rsidRPr="00EC46CB">
              <w:rPr>
                <w:b/>
              </w:rPr>
              <w:lastRenderedPageBreak/>
              <w:t>Мероприятия, направленные на содействие развитию рынка</w:t>
            </w:r>
            <w:r>
              <w:t xml:space="preserve"> </w:t>
            </w:r>
            <w:r w:rsidRPr="00E16FA4">
              <w:rPr>
                <w:b/>
              </w:rPr>
              <w:t>жилищного строительства</w:t>
            </w:r>
          </w:p>
        </w:tc>
      </w:tr>
      <w:tr w:rsidR="00470D1F" w:rsidRPr="00DC136A" w:rsidTr="00B5507A">
        <w:tc>
          <w:tcPr>
            <w:tcW w:w="675" w:type="dxa"/>
          </w:tcPr>
          <w:p w:rsidR="00470D1F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470D1F" w:rsidRPr="00E35F6D" w:rsidRDefault="00470D1F" w:rsidP="00187D9D">
            <w:pPr>
              <w:pStyle w:val="a4"/>
              <w:spacing w:before="0" w:beforeAutospacing="0" w:after="0" w:line="216" w:lineRule="auto"/>
              <w:jc w:val="both"/>
              <w:rPr>
                <w:rFonts w:eastAsiaTheme="minorHAnsi"/>
                <w:lang w:eastAsia="en-US"/>
              </w:rPr>
            </w:pPr>
            <w:r w:rsidRPr="00E35F6D">
              <w:rPr>
                <w:rFonts w:eastAsiaTheme="minorHAnsi"/>
                <w:lang w:eastAsia="en-US"/>
              </w:rPr>
              <w:t xml:space="preserve">Содействие развитию негосударственного сектора в сфере жилищного строительства </w:t>
            </w:r>
          </w:p>
        </w:tc>
        <w:tc>
          <w:tcPr>
            <w:tcW w:w="1560" w:type="dxa"/>
          </w:tcPr>
          <w:p w:rsidR="00470D1F" w:rsidRPr="00E35F6D" w:rsidRDefault="00470D1F" w:rsidP="00051A7E">
            <w:pPr>
              <w:pStyle w:val="a4"/>
              <w:spacing w:before="0" w:beforeAutospacing="0" w:after="0" w:line="216" w:lineRule="auto"/>
              <w:jc w:val="center"/>
              <w:rPr>
                <w:rFonts w:eastAsiaTheme="minorHAnsi"/>
                <w:lang w:eastAsia="en-US"/>
              </w:rPr>
            </w:pPr>
            <w:r w:rsidRPr="00E35F6D">
              <w:rPr>
                <w:rFonts w:eastAsiaTheme="minorHAnsi"/>
                <w:lang w:eastAsia="en-US"/>
              </w:rPr>
              <w:t>2019 – 2022 годы</w:t>
            </w:r>
          </w:p>
        </w:tc>
        <w:tc>
          <w:tcPr>
            <w:tcW w:w="1842" w:type="dxa"/>
          </w:tcPr>
          <w:p w:rsidR="00470D1F" w:rsidRPr="00E35F6D" w:rsidRDefault="00470D1F" w:rsidP="00535420">
            <w:pPr>
              <w:pStyle w:val="3"/>
              <w:shd w:val="clear" w:color="auto" w:fill="auto"/>
              <w:spacing w:line="240" w:lineRule="auto"/>
              <w:ind w:left="62"/>
              <w:jc w:val="left"/>
              <w:rPr>
                <w:rFonts w:eastAsiaTheme="minorHAnsi"/>
                <w:sz w:val="24"/>
                <w:szCs w:val="24"/>
              </w:rPr>
            </w:pPr>
            <w:r w:rsidRPr="00E35F6D">
              <w:rPr>
                <w:rFonts w:eastAsiaTheme="minorHAnsi"/>
                <w:sz w:val="24"/>
                <w:szCs w:val="24"/>
              </w:rPr>
              <w:t xml:space="preserve">Отдел </w:t>
            </w:r>
            <w:r w:rsidR="00535420" w:rsidRPr="00E35F6D">
              <w:rPr>
                <w:rFonts w:eastAsiaTheme="minorHAnsi"/>
                <w:sz w:val="24"/>
                <w:szCs w:val="24"/>
              </w:rPr>
              <w:t xml:space="preserve">по </w:t>
            </w:r>
            <w:r w:rsidRPr="00E35F6D">
              <w:rPr>
                <w:rFonts w:eastAsiaTheme="minorHAnsi"/>
                <w:sz w:val="24"/>
                <w:szCs w:val="24"/>
              </w:rPr>
              <w:t>архитектур</w:t>
            </w:r>
            <w:r w:rsidR="00535420" w:rsidRPr="00E35F6D">
              <w:rPr>
                <w:rFonts w:eastAsiaTheme="minorHAnsi"/>
                <w:sz w:val="24"/>
                <w:szCs w:val="24"/>
              </w:rPr>
              <w:t xml:space="preserve">е </w:t>
            </w:r>
            <w:r w:rsidRPr="00E35F6D">
              <w:rPr>
                <w:rFonts w:eastAsiaTheme="minorHAnsi"/>
                <w:sz w:val="24"/>
                <w:szCs w:val="24"/>
              </w:rPr>
              <w:t>и градостроительства</w:t>
            </w:r>
          </w:p>
        </w:tc>
        <w:tc>
          <w:tcPr>
            <w:tcW w:w="2566" w:type="dxa"/>
          </w:tcPr>
          <w:p w:rsidR="00470D1F" w:rsidRPr="00E35F6D" w:rsidRDefault="00535420" w:rsidP="0047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0D1F" w:rsidRPr="00E35F6D">
              <w:rPr>
                <w:rFonts w:ascii="Times New Roman" w:hAnsi="Times New Roman" w:cs="Times New Roman"/>
                <w:sz w:val="24"/>
                <w:szCs w:val="24"/>
              </w:rPr>
              <w:t>оля организаций частной формы собственности в сфере жилищного строительства процентов</w:t>
            </w:r>
          </w:p>
        </w:tc>
        <w:tc>
          <w:tcPr>
            <w:tcW w:w="2113" w:type="dxa"/>
          </w:tcPr>
          <w:p w:rsidR="00DC136A" w:rsidRPr="00E35F6D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DC136A" w:rsidRPr="00E35F6D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DC136A" w:rsidRPr="00E35F6D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DC136A" w:rsidRPr="00E35F6D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470D1F" w:rsidRPr="00E35F6D" w:rsidRDefault="00DC136A" w:rsidP="00D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470D1F" w:rsidRPr="00E35F6D" w:rsidRDefault="00470D1F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Увеличение доли присутствия негосударственного сектора в сфере жилищного строительства</w:t>
            </w:r>
          </w:p>
        </w:tc>
      </w:tr>
      <w:tr w:rsidR="00260ECA" w:rsidRPr="00DC136A" w:rsidTr="00B5507A">
        <w:tc>
          <w:tcPr>
            <w:tcW w:w="675" w:type="dxa"/>
          </w:tcPr>
          <w:p w:rsidR="00260ECA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граждан Городищенского муниципального района за счет всех источников финансирования муниципального район</w:t>
            </w:r>
          </w:p>
        </w:tc>
        <w:tc>
          <w:tcPr>
            <w:tcW w:w="1560" w:type="dxa"/>
          </w:tcPr>
          <w:p w:rsidR="00260ECA" w:rsidRPr="00E35F6D" w:rsidRDefault="00260ECA" w:rsidP="0099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0650" w:rsidRPr="00E35F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0650" w:rsidRPr="00E3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260ECA" w:rsidRPr="00E35F6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 и градостроительства</w:t>
            </w:r>
          </w:p>
        </w:tc>
        <w:tc>
          <w:tcPr>
            <w:tcW w:w="2566" w:type="dxa"/>
          </w:tcPr>
          <w:p w:rsidR="00260ECA" w:rsidRPr="00E35F6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Площадь вводимого жилья,</w:t>
            </w:r>
            <w:r w:rsidR="00187D9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жилищное строительство</w:t>
            </w:r>
            <w:r w:rsidR="00535420" w:rsidRPr="00E35F6D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2113" w:type="dxa"/>
          </w:tcPr>
          <w:p w:rsidR="00260ECA" w:rsidRPr="00187D9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260ECA" w:rsidRPr="00187D9D" w:rsidRDefault="00187D9D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260ECA" w:rsidRPr="0018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CA" w:rsidRPr="00187D9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  <w:p w:rsidR="00535420" w:rsidRPr="00187D9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  <w:p w:rsidR="00260ECA" w:rsidRPr="00187D9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535420" w:rsidRPr="00187D9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Pr="00187D9D" w:rsidRDefault="00404584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260ECA" w:rsidRPr="00187D9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260ECA" w:rsidRPr="00187D9D" w:rsidRDefault="00404584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</w:t>
            </w:r>
            <w:r w:rsidR="0005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ECA" w:rsidRPr="00187D9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260ECA" w:rsidRPr="00187D9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  <w:p w:rsidR="00535420" w:rsidRPr="00187D9D" w:rsidRDefault="00535420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35420" w:rsidRPr="00E35F6D" w:rsidRDefault="00535420" w:rsidP="00051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9D"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9D" w:rsidRPr="00187D9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113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Увеличение объема вводимого жилья</w:t>
            </w:r>
          </w:p>
        </w:tc>
      </w:tr>
      <w:tr w:rsidR="00260ECA" w:rsidRPr="00DC136A" w:rsidTr="00B5507A">
        <w:tc>
          <w:tcPr>
            <w:tcW w:w="675" w:type="dxa"/>
          </w:tcPr>
          <w:p w:rsidR="00260ECA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BA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712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молодых семей </w:t>
            </w:r>
          </w:p>
        </w:tc>
        <w:tc>
          <w:tcPr>
            <w:tcW w:w="1560" w:type="dxa"/>
          </w:tcPr>
          <w:p w:rsidR="00260ECA" w:rsidRPr="00E35F6D" w:rsidRDefault="00260ECA" w:rsidP="00051A7E">
            <w:pPr>
              <w:jc w:val="center"/>
              <w:rPr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  <w:tc>
          <w:tcPr>
            <w:tcW w:w="1842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культуре, социальной и </w:t>
            </w: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политике, спорту</w:t>
            </w:r>
          </w:p>
        </w:tc>
        <w:tc>
          <w:tcPr>
            <w:tcW w:w="2566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молодых семей, улучшивших жилищные условия</w:t>
            </w:r>
            <w:r w:rsidR="00720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0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113" w:type="dxa"/>
          </w:tcPr>
          <w:p w:rsidR="00260ECA" w:rsidRPr="00693078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5</w:t>
            </w:r>
          </w:p>
          <w:p w:rsidR="00260ECA" w:rsidRPr="00693078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78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78" w:rsidRPr="00693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CA" w:rsidRPr="00693078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78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07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260ECA" w:rsidRPr="00693078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год-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78" w:rsidRPr="006930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60ECA" w:rsidRPr="00693078" w:rsidRDefault="00260ECA" w:rsidP="0072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78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404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78" w:rsidRPr="006930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113" w:type="dxa"/>
          </w:tcPr>
          <w:p w:rsidR="00260ECA" w:rsidRPr="00E35F6D" w:rsidRDefault="00260EC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жилищных условий</w:t>
            </w:r>
          </w:p>
        </w:tc>
      </w:tr>
      <w:tr w:rsidR="00DC136A" w:rsidRPr="00DC136A" w:rsidTr="00051A7E">
        <w:tc>
          <w:tcPr>
            <w:tcW w:w="15581" w:type="dxa"/>
            <w:gridSpan w:val="7"/>
          </w:tcPr>
          <w:p w:rsidR="00DC136A" w:rsidRPr="00E35F6D" w:rsidRDefault="00187D9D" w:rsidP="00DC136A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C136A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Рынок </w:t>
            </w:r>
            <w:proofErr w:type="gramStart"/>
            <w:r w:rsidR="00DC136A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товарной</w:t>
            </w:r>
            <w:proofErr w:type="gramEnd"/>
            <w:r w:rsidR="00DC136A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аквакультуры </w:t>
            </w:r>
          </w:p>
        </w:tc>
      </w:tr>
      <w:tr w:rsidR="00EE4575" w:rsidRPr="00DC136A" w:rsidTr="00051A7E">
        <w:tc>
          <w:tcPr>
            <w:tcW w:w="15581" w:type="dxa"/>
            <w:gridSpan w:val="7"/>
          </w:tcPr>
          <w:p w:rsidR="00EE4575" w:rsidRPr="00EE4575" w:rsidRDefault="00EE4575" w:rsidP="00EE457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ситуация, анализ основных проблем на рынке </w:t>
            </w:r>
            <w:proofErr w:type="gramStart"/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товарной</w:t>
            </w:r>
            <w:proofErr w:type="gramEnd"/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аквакультуры  </w:t>
            </w:r>
          </w:p>
          <w:p w:rsidR="00EE4575" w:rsidRPr="00CC4DC9" w:rsidRDefault="00EE4575" w:rsidP="00EE457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Прудовые площади предприятия ООО «Свобода», расположенного на территории Городищенского муниципального района, предназначенные для выращивания товарной рыбы и рыбопосадочного материала, составляют 331,9 гектаров. Всего выращено товарной рыбы за 201</w:t>
            </w:r>
            <w:r w:rsidR="005824F6"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60 тонн, количество рыбопосадочного материала 405,0 </w:t>
            </w:r>
            <w:proofErr w:type="spellStart"/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</w:t>
            </w:r>
            <w:proofErr w:type="spellEnd"/>
            <w:r w:rsidRPr="00CC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575" w:rsidRPr="00CC4DC9" w:rsidRDefault="00EE4575" w:rsidP="00EE457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575" w:rsidRPr="00EE4575" w:rsidRDefault="00EE4575" w:rsidP="00EE4575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 w:rsidRPr="00EE45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негосударственных организаций на рынке </w:t>
            </w:r>
            <w:proofErr w:type="gramStart"/>
            <w:r w:rsidRPr="00EE45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товарной</w:t>
            </w:r>
            <w:proofErr w:type="gramEnd"/>
            <w:r w:rsidRPr="00EE45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аквакультуры </w:t>
            </w:r>
          </w:p>
          <w:p w:rsidR="00EE4575" w:rsidRPr="00EE4575" w:rsidRDefault="00EE4575" w:rsidP="00EE457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Городищенского муниципального района предприятий, занимающихся выращиванием товарной аквакультуры, находящихся в муниципальной собственности, не зарегистрировано. Таким образом, доля присутствия частного сектора на рынке семеноводства составляет 100 %.</w:t>
            </w:r>
          </w:p>
          <w:p w:rsidR="00EE4575" w:rsidRDefault="00EE4575" w:rsidP="00EE457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4575" w:rsidRPr="00EE4575" w:rsidRDefault="00EE4575" w:rsidP="00EE4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Характерные особенности рынка товарной аквакультуры </w:t>
            </w:r>
          </w:p>
          <w:p w:rsidR="00EE4575" w:rsidRDefault="00EE4575" w:rsidP="00EE4575">
            <w:pPr>
              <w:ind w:firstLine="70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состоянию на 01.01.20</w:t>
            </w:r>
            <w:r w:rsidR="005824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  <w:r w:rsidRPr="00EE45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года на территории Городищенского муниципального района осуществляют деятельность 1 предприятие (ООО «Свобода»), занимающееся выращиванием и реализацией прудовой товарной рыбы, на предприятии трудится  7  человек.</w:t>
            </w:r>
          </w:p>
          <w:p w:rsidR="00EE4575" w:rsidRPr="00EE4575" w:rsidRDefault="00EE4575" w:rsidP="00EE4575">
            <w:pPr>
              <w:ind w:firstLine="70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E4575" w:rsidRPr="00EE4575" w:rsidRDefault="00EE4575" w:rsidP="00EE45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основных административных и экономических барьеров входа на рынок аквакультуры </w:t>
            </w:r>
          </w:p>
          <w:p w:rsidR="00EE4575" w:rsidRPr="00EE4575" w:rsidRDefault="00EE4575" w:rsidP="00EE457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барьеры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</w:t>
            </w:r>
            <w:r w:rsidRPr="00EE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рынке аквакультуры отсутствуют.</w:t>
            </w:r>
          </w:p>
          <w:p w:rsidR="00EE4575" w:rsidRDefault="00EE4575" w:rsidP="00DC136A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575" w:rsidRPr="00DC136A" w:rsidTr="00051A7E">
        <w:tc>
          <w:tcPr>
            <w:tcW w:w="15581" w:type="dxa"/>
            <w:gridSpan w:val="7"/>
          </w:tcPr>
          <w:p w:rsidR="00EE4575" w:rsidRDefault="008861F8" w:rsidP="00DC136A">
            <w:pPr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рынка</w:t>
            </w:r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товарной</w:t>
            </w:r>
            <w:proofErr w:type="gramEnd"/>
            <w:r w:rsidRPr="00EE4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аквакультуры</w:t>
            </w:r>
          </w:p>
        </w:tc>
      </w:tr>
      <w:tr w:rsidR="001D5DB9" w:rsidRPr="00DC136A" w:rsidTr="00B5507A">
        <w:tc>
          <w:tcPr>
            <w:tcW w:w="675" w:type="dxa"/>
          </w:tcPr>
          <w:p w:rsidR="001D5DB9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DB9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1D5DB9" w:rsidRPr="00E35F6D" w:rsidRDefault="001D5DB9" w:rsidP="0005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негосударственного сектора на рынке </w:t>
            </w:r>
            <w:proofErr w:type="gramStart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аквакультуры</w:t>
            </w:r>
          </w:p>
        </w:tc>
        <w:tc>
          <w:tcPr>
            <w:tcW w:w="1560" w:type="dxa"/>
          </w:tcPr>
          <w:p w:rsidR="001D5DB9" w:rsidRPr="00E35F6D" w:rsidRDefault="001D5DB9" w:rsidP="000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E35F6D" w:rsidRDefault="001D5DB9" w:rsidP="000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экологии</w:t>
            </w:r>
          </w:p>
        </w:tc>
        <w:tc>
          <w:tcPr>
            <w:tcW w:w="2566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2113" w:type="dxa"/>
          </w:tcPr>
          <w:p w:rsidR="001D5DB9" w:rsidRPr="00E35F6D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1D5DB9" w:rsidRPr="00E35F6D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1D5DB9" w:rsidRPr="00E35F6D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1D5DB9" w:rsidRPr="00E35F6D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1D5DB9" w:rsidRPr="00E35F6D" w:rsidRDefault="001D5DB9" w:rsidP="001D5D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Поддержание доли негосударственного сектора на рынке товарной аквакультуры</w:t>
            </w:r>
          </w:p>
        </w:tc>
      </w:tr>
      <w:tr w:rsidR="001D5DB9" w:rsidRPr="00DC136A" w:rsidTr="00B5507A">
        <w:tc>
          <w:tcPr>
            <w:tcW w:w="675" w:type="dxa"/>
          </w:tcPr>
          <w:p w:rsidR="001D5DB9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DB9" w:rsidRPr="00E35F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1D5DB9" w:rsidRPr="00E35F6D" w:rsidRDefault="001D5DB9" w:rsidP="00051A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хозяйствующих субъектов, осуществляющих деятельность на рынке </w:t>
            </w:r>
            <w:proofErr w:type="gramStart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 аквакультуры</w:t>
            </w:r>
          </w:p>
        </w:tc>
        <w:tc>
          <w:tcPr>
            <w:tcW w:w="1560" w:type="dxa"/>
          </w:tcPr>
          <w:p w:rsidR="001D5DB9" w:rsidRPr="00E35F6D" w:rsidRDefault="001D5DB9" w:rsidP="000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E35F6D" w:rsidRDefault="001D5DB9" w:rsidP="000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 и экологии</w:t>
            </w:r>
          </w:p>
        </w:tc>
        <w:tc>
          <w:tcPr>
            <w:tcW w:w="2566" w:type="dxa"/>
          </w:tcPr>
          <w:p w:rsidR="001D5DB9" w:rsidRPr="00E35F6D" w:rsidRDefault="001D5DB9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текущей ситуации на рынке  товарной аквакультуры, </w:t>
            </w:r>
          </w:p>
        </w:tc>
        <w:tc>
          <w:tcPr>
            <w:tcW w:w="2113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1D5DB9" w:rsidRPr="00E35F6D" w:rsidRDefault="001D5DB9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Поддержание развития конкуренции на рынке товарной аквакультуры</w:t>
            </w:r>
          </w:p>
        </w:tc>
      </w:tr>
      <w:tr w:rsidR="001D5DB9" w:rsidRPr="00DC136A" w:rsidTr="00051A7E">
        <w:tc>
          <w:tcPr>
            <w:tcW w:w="15581" w:type="dxa"/>
            <w:gridSpan w:val="7"/>
          </w:tcPr>
          <w:p w:rsidR="001D5DB9" w:rsidRPr="00E35F6D" w:rsidRDefault="00187D9D" w:rsidP="001D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D5DB9" w:rsidRPr="00E35F6D">
              <w:rPr>
                <w:rFonts w:ascii="Times New Roman" w:hAnsi="Times New Roman" w:cs="Times New Roman"/>
                <w:b/>
                <w:sz w:val="24"/>
                <w:szCs w:val="24"/>
              </w:rPr>
              <w:t>. Рынок нефтепродуктов</w:t>
            </w:r>
          </w:p>
        </w:tc>
      </w:tr>
      <w:tr w:rsidR="008861F8" w:rsidRPr="00DC136A" w:rsidTr="00051A7E">
        <w:tc>
          <w:tcPr>
            <w:tcW w:w="15581" w:type="dxa"/>
            <w:gridSpan w:val="7"/>
          </w:tcPr>
          <w:p w:rsidR="006C6F58" w:rsidRDefault="008861F8" w:rsidP="006C6F5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Текущая ситуация, анализ основных проблем на рынке услуг розничной торговли нефтепродуктами </w:t>
            </w:r>
          </w:p>
          <w:p w:rsidR="008861F8" w:rsidRPr="008861F8" w:rsidRDefault="006C6F58" w:rsidP="006C6F5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8861F8"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мониторинга по состоянию на 01 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января 2020</w:t>
            </w:r>
            <w:r w:rsidR="008861F8"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 территории региона размещено 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8861F8"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объектов, </w:t>
            </w:r>
            <w:r w:rsidR="008861F8" w:rsidRPr="008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розничную торговлю нефтепродуктами.</w:t>
            </w:r>
          </w:p>
          <w:p w:rsidR="008861F8" w:rsidRPr="008861F8" w:rsidRDefault="008861F8" w:rsidP="008861F8">
            <w:pPr>
              <w:spacing w:line="21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1F8" w:rsidRPr="008861F8" w:rsidRDefault="008861F8" w:rsidP="008861F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</w:t>
            </w:r>
            <w:r w:rsidRPr="008861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негосударственных организаций на рынке </w:t>
            </w: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 розничной торговли нефтепродуктами Волгоградской области</w:t>
            </w:r>
          </w:p>
          <w:p w:rsidR="008861F8" w:rsidRPr="008861F8" w:rsidRDefault="008861F8" w:rsidP="008861F8">
            <w:pPr>
              <w:spacing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присутствия на рынке розничной продажи нефтепродуктов экономики частного бизне</w:t>
            </w:r>
            <w:r w:rsidR="005824F6">
              <w:rPr>
                <w:rFonts w:ascii="Times New Roman" w:eastAsia="Calibri" w:hAnsi="Times New Roman" w:cs="Times New Roman"/>
                <w:sz w:val="24"/>
                <w:szCs w:val="24"/>
              </w:rPr>
              <w:t>са по состоянию на 01 января 2020</w:t>
            </w:r>
            <w:r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составила 100 %.</w:t>
            </w:r>
          </w:p>
          <w:p w:rsidR="008861F8" w:rsidRPr="008861F8" w:rsidRDefault="008861F8" w:rsidP="008861F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1F8" w:rsidRPr="008861F8" w:rsidRDefault="008861F8" w:rsidP="008861F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Характерные особенности рынка услуг розничной торговли нефтепродуктами </w:t>
            </w:r>
          </w:p>
          <w:p w:rsidR="008861F8" w:rsidRPr="008861F8" w:rsidRDefault="008861F8" w:rsidP="008861F8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Любой хозяйствующий субъект может осуществлять деятельность по продаже нефтепродуктов. Администрация Городищенского муниципального района не оказывает влияния на открытие </w:t>
            </w:r>
            <w:proofErr w:type="gramStart"/>
            <w:r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  <w:r w:rsidRPr="00886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АЗС. </w:t>
            </w:r>
          </w:p>
          <w:p w:rsidR="008861F8" w:rsidRPr="008861F8" w:rsidRDefault="008861F8" w:rsidP="008861F8">
            <w:pPr>
              <w:spacing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F8" w:rsidRPr="008861F8" w:rsidRDefault="008861F8" w:rsidP="008861F8">
            <w:pPr>
              <w:spacing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административных и экономических барьеров входа на</w:t>
            </w:r>
            <w:r w:rsidR="006C6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рынок услуг розничной торговли </w:t>
            </w:r>
            <w:r w:rsidRPr="008861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нефтепродуктами </w:t>
            </w:r>
          </w:p>
          <w:p w:rsidR="008861F8" w:rsidRDefault="008861F8" w:rsidP="008861F8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осуществления деятельности на рынке нефтепродуктов Городищенского района Волгоградской области административные барьеры отсутствуют. </w:t>
            </w:r>
          </w:p>
        </w:tc>
      </w:tr>
      <w:tr w:rsidR="008861F8" w:rsidRPr="00DC136A" w:rsidTr="00051A7E">
        <w:tc>
          <w:tcPr>
            <w:tcW w:w="15581" w:type="dxa"/>
            <w:gridSpan w:val="7"/>
          </w:tcPr>
          <w:p w:rsidR="008861F8" w:rsidRDefault="00633D9A" w:rsidP="001D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содействие развитию рынка</w:t>
            </w:r>
            <w:r>
              <w:t xml:space="preserve"> </w:t>
            </w:r>
            <w:r w:rsidRPr="00633D9A">
              <w:rPr>
                <w:rFonts w:ascii="Times New Roman" w:hAnsi="Times New Roman" w:cs="Times New Roman"/>
                <w:b/>
                <w:sz w:val="24"/>
                <w:szCs w:val="24"/>
              </w:rPr>
              <w:t>услуг розничной торговли нефтепродуктами</w:t>
            </w:r>
          </w:p>
        </w:tc>
      </w:tr>
      <w:tr w:rsidR="001D5DB9" w:rsidRPr="00DC136A" w:rsidTr="00B5507A">
        <w:tc>
          <w:tcPr>
            <w:tcW w:w="675" w:type="dxa"/>
          </w:tcPr>
          <w:p w:rsidR="001D5DB9" w:rsidRPr="00E35F6D" w:rsidRDefault="00187D9D" w:rsidP="001D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2A" w:rsidRPr="00E35F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12" w:type="dxa"/>
          </w:tcPr>
          <w:p w:rsidR="001D5DB9" w:rsidRPr="00E35F6D" w:rsidRDefault="0054362A" w:rsidP="00051A7E">
            <w:pPr>
              <w:pStyle w:val="a4"/>
              <w:spacing w:before="0" w:beforeAutospacing="0" w:after="0" w:line="216" w:lineRule="auto"/>
              <w:jc w:val="both"/>
            </w:pPr>
            <w:r w:rsidRPr="00E35F6D">
              <w:t>Содействие развитию негосударственного сектора на рынке нефтепродуктов</w:t>
            </w:r>
          </w:p>
        </w:tc>
        <w:tc>
          <w:tcPr>
            <w:tcW w:w="1560" w:type="dxa"/>
          </w:tcPr>
          <w:p w:rsidR="001D5DB9" w:rsidRPr="00E35F6D" w:rsidRDefault="001D5DB9" w:rsidP="0005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  <w:p w:rsidR="001D5DB9" w:rsidRPr="00E35F6D" w:rsidRDefault="001D5DB9" w:rsidP="00051A7E">
            <w:pPr>
              <w:pStyle w:val="a4"/>
              <w:spacing w:before="0" w:beforeAutospacing="0" w:after="0" w:line="216" w:lineRule="auto"/>
              <w:jc w:val="center"/>
            </w:pPr>
            <w:r w:rsidRPr="00E35F6D">
              <w:t>годы</w:t>
            </w:r>
          </w:p>
        </w:tc>
        <w:tc>
          <w:tcPr>
            <w:tcW w:w="1842" w:type="dxa"/>
          </w:tcPr>
          <w:p w:rsidR="001D5DB9" w:rsidRPr="00E35F6D" w:rsidRDefault="001D5DB9" w:rsidP="00051A7E">
            <w:pPr>
              <w:pStyle w:val="3"/>
              <w:shd w:val="clear" w:color="auto" w:fill="auto"/>
              <w:spacing w:line="293" w:lineRule="exact"/>
              <w:ind w:left="60"/>
              <w:jc w:val="left"/>
              <w:rPr>
                <w:sz w:val="24"/>
                <w:szCs w:val="24"/>
              </w:rPr>
            </w:pPr>
            <w:r w:rsidRPr="00E35F6D">
              <w:rPr>
                <w:rFonts w:eastAsia="Calibri"/>
                <w:sz w:val="24"/>
                <w:szCs w:val="24"/>
              </w:rPr>
              <w:t>Отдел экономики</w:t>
            </w:r>
          </w:p>
        </w:tc>
        <w:tc>
          <w:tcPr>
            <w:tcW w:w="2566" w:type="dxa"/>
          </w:tcPr>
          <w:p w:rsidR="001D5DB9" w:rsidRPr="00E35F6D" w:rsidRDefault="0054362A" w:rsidP="001D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Доля присутствия на рынке розничной продажи нефтепродуктов экономики частного бизнеса</w:t>
            </w:r>
          </w:p>
        </w:tc>
        <w:tc>
          <w:tcPr>
            <w:tcW w:w="2113" w:type="dxa"/>
          </w:tcPr>
          <w:p w:rsidR="0054362A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2018 г. - 100</w:t>
            </w:r>
          </w:p>
          <w:p w:rsidR="0054362A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2019 г. - 100</w:t>
            </w:r>
          </w:p>
          <w:p w:rsidR="0054362A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2020 г. - 100</w:t>
            </w:r>
          </w:p>
          <w:p w:rsidR="0054362A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2021 г. - 100</w:t>
            </w:r>
          </w:p>
          <w:p w:rsidR="001D5DB9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2022 г. - 100</w:t>
            </w:r>
          </w:p>
        </w:tc>
        <w:tc>
          <w:tcPr>
            <w:tcW w:w="2113" w:type="dxa"/>
          </w:tcPr>
          <w:p w:rsidR="001D5DB9" w:rsidRPr="00E35F6D" w:rsidRDefault="0054362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Поддержание доли негосударственного сектора на рынке нефтепродуктов</w:t>
            </w:r>
          </w:p>
        </w:tc>
      </w:tr>
      <w:tr w:rsidR="0054362A" w:rsidRPr="00DC136A" w:rsidTr="00B5507A">
        <w:tc>
          <w:tcPr>
            <w:tcW w:w="675" w:type="dxa"/>
          </w:tcPr>
          <w:p w:rsidR="0054362A" w:rsidRPr="00E35F6D" w:rsidRDefault="0018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2A" w:rsidRPr="00E35F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712" w:type="dxa"/>
          </w:tcPr>
          <w:p w:rsidR="0054362A" w:rsidRPr="00E35F6D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E35F6D">
              <w:t xml:space="preserve">Формирование и актуализация реестра участников, осуществляющих деятельность в сфере розничной продажи нефтепродуктов на территории региона </w:t>
            </w:r>
          </w:p>
        </w:tc>
        <w:tc>
          <w:tcPr>
            <w:tcW w:w="1560" w:type="dxa"/>
          </w:tcPr>
          <w:p w:rsidR="0054362A" w:rsidRPr="00E35F6D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E35F6D">
              <w:t>2019 - 2022 годы</w:t>
            </w:r>
          </w:p>
        </w:tc>
        <w:tc>
          <w:tcPr>
            <w:tcW w:w="1842" w:type="dxa"/>
          </w:tcPr>
          <w:p w:rsidR="0054362A" w:rsidRPr="00E35F6D" w:rsidRDefault="0054362A" w:rsidP="0054362A">
            <w:pPr>
              <w:pStyle w:val="a4"/>
              <w:spacing w:before="0" w:beforeAutospacing="0" w:after="0" w:line="216" w:lineRule="auto"/>
              <w:jc w:val="both"/>
            </w:pPr>
            <w:r w:rsidRPr="00E35F6D">
              <w:t>Отдел экономики</w:t>
            </w:r>
          </w:p>
        </w:tc>
        <w:tc>
          <w:tcPr>
            <w:tcW w:w="2566" w:type="dxa"/>
          </w:tcPr>
          <w:p w:rsidR="0054362A" w:rsidRPr="00E35F6D" w:rsidRDefault="0054362A" w:rsidP="00543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 целью актуализации реестра участников, осуществляющих деятельность в сфере розничной продажи нефтепродуктов </w:t>
            </w:r>
          </w:p>
        </w:tc>
        <w:tc>
          <w:tcPr>
            <w:tcW w:w="2113" w:type="dxa"/>
          </w:tcPr>
          <w:p w:rsidR="0054362A" w:rsidRPr="00E35F6D" w:rsidRDefault="0054362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13" w:type="dxa"/>
          </w:tcPr>
          <w:p w:rsidR="0054362A" w:rsidRPr="00E35F6D" w:rsidRDefault="0054362A" w:rsidP="0005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6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на рынке нефтепродуктов</w:t>
            </w:r>
          </w:p>
        </w:tc>
      </w:tr>
    </w:tbl>
    <w:p w:rsidR="00C720CD" w:rsidRPr="00DC136A" w:rsidRDefault="00C720CD" w:rsidP="00C720CD">
      <w:pPr>
        <w:jc w:val="right"/>
        <w:rPr>
          <w:rFonts w:ascii="Times New Roman" w:hAnsi="Times New Roman" w:cs="Times New Roman"/>
        </w:rPr>
      </w:pPr>
    </w:p>
    <w:p w:rsidR="00FC111F" w:rsidRPr="0054362A" w:rsidRDefault="00C720CD" w:rsidP="00C720CD">
      <w:pPr>
        <w:jc w:val="right"/>
        <w:rPr>
          <w:rFonts w:ascii="Times New Roman" w:hAnsi="Times New Roman" w:cs="Times New Roman"/>
          <w:sz w:val="24"/>
          <w:szCs w:val="24"/>
        </w:rPr>
      </w:pPr>
      <w:r w:rsidRPr="0054362A">
        <w:rPr>
          <w:rFonts w:ascii="Times New Roman" w:hAnsi="Times New Roman" w:cs="Times New Roman"/>
          <w:sz w:val="24"/>
          <w:szCs w:val="24"/>
        </w:rPr>
        <w:t>Отдел экономики</w:t>
      </w:r>
    </w:p>
    <w:sectPr w:rsidR="00FC111F" w:rsidRPr="0054362A" w:rsidSect="006F49A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1F"/>
    <w:rsid w:val="00014441"/>
    <w:rsid w:val="00021D5D"/>
    <w:rsid w:val="000360EF"/>
    <w:rsid w:val="00051A7E"/>
    <w:rsid w:val="00062461"/>
    <w:rsid w:val="00072BA3"/>
    <w:rsid w:val="00077571"/>
    <w:rsid w:val="000C48F0"/>
    <w:rsid w:val="000C50BC"/>
    <w:rsid w:val="00123BED"/>
    <w:rsid w:val="00124BD0"/>
    <w:rsid w:val="001363E2"/>
    <w:rsid w:val="00143BA3"/>
    <w:rsid w:val="00144747"/>
    <w:rsid w:val="00154118"/>
    <w:rsid w:val="00156DDC"/>
    <w:rsid w:val="001703D1"/>
    <w:rsid w:val="00187D9D"/>
    <w:rsid w:val="001A440C"/>
    <w:rsid w:val="001C14EC"/>
    <w:rsid w:val="001D5DB9"/>
    <w:rsid w:val="00227102"/>
    <w:rsid w:val="00260ECA"/>
    <w:rsid w:val="00262ACE"/>
    <w:rsid w:val="00295E46"/>
    <w:rsid w:val="002C1F7B"/>
    <w:rsid w:val="002D39BC"/>
    <w:rsid w:val="002D4274"/>
    <w:rsid w:val="00395084"/>
    <w:rsid w:val="003A4883"/>
    <w:rsid w:val="003A5BDF"/>
    <w:rsid w:val="003B5AF9"/>
    <w:rsid w:val="003C0C93"/>
    <w:rsid w:val="003C75E1"/>
    <w:rsid w:val="003E4E92"/>
    <w:rsid w:val="003F5F11"/>
    <w:rsid w:val="00404584"/>
    <w:rsid w:val="00405799"/>
    <w:rsid w:val="00414AE2"/>
    <w:rsid w:val="004217AB"/>
    <w:rsid w:val="0045450E"/>
    <w:rsid w:val="0046514D"/>
    <w:rsid w:val="00470D1F"/>
    <w:rsid w:val="00486E2D"/>
    <w:rsid w:val="0049291F"/>
    <w:rsid w:val="00497F49"/>
    <w:rsid w:val="004A4470"/>
    <w:rsid w:val="004B4A44"/>
    <w:rsid w:val="004C4092"/>
    <w:rsid w:val="004D54BF"/>
    <w:rsid w:val="004F65E2"/>
    <w:rsid w:val="005322EE"/>
    <w:rsid w:val="00535420"/>
    <w:rsid w:val="0054362A"/>
    <w:rsid w:val="005824F6"/>
    <w:rsid w:val="005D3012"/>
    <w:rsid w:val="00623A7D"/>
    <w:rsid w:val="00633D9A"/>
    <w:rsid w:val="00635207"/>
    <w:rsid w:val="006372F0"/>
    <w:rsid w:val="006469D4"/>
    <w:rsid w:val="00686A12"/>
    <w:rsid w:val="00690CFC"/>
    <w:rsid w:val="00693078"/>
    <w:rsid w:val="006B4336"/>
    <w:rsid w:val="006C467E"/>
    <w:rsid w:val="006C6F58"/>
    <w:rsid w:val="006E2230"/>
    <w:rsid w:val="006F49A4"/>
    <w:rsid w:val="00717413"/>
    <w:rsid w:val="00720E44"/>
    <w:rsid w:val="007556E8"/>
    <w:rsid w:val="00764457"/>
    <w:rsid w:val="00784ED9"/>
    <w:rsid w:val="007914F2"/>
    <w:rsid w:val="007A2A81"/>
    <w:rsid w:val="007D5F56"/>
    <w:rsid w:val="008226EA"/>
    <w:rsid w:val="00827B36"/>
    <w:rsid w:val="008861F8"/>
    <w:rsid w:val="008D2E9E"/>
    <w:rsid w:val="008E5B9D"/>
    <w:rsid w:val="008F09B7"/>
    <w:rsid w:val="00903525"/>
    <w:rsid w:val="00922172"/>
    <w:rsid w:val="00952D98"/>
    <w:rsid w:val="0096499B"/>
    <w:rsid w:val="00990650"/>
    <w:rsid w:val="00990B6B"/>
    <w:rsid w:val="009A2548"/>
    <w:rsid w:val="009A55BC"/>
    <w:rsid w:val="009D370D"/>
    <w:rsid w:val="009D7722"/>
    <w:rsid w:val="00A23B96"/>
    <w:rsid w:val="00A26A1A"/>
    <w:rsid w:val="00AC00A5"/>
    <w:rsid w:val="00AD0986"/>
    <w:rsid w:val="00B04F90"/>
    <w:rsid w:val="00B0527E"/>
    <w:rsid w:val="00B15521"/>
    <w:rsid w:val="00B205A7"/>
    <w:rsid w:val="00B5507A"/>
    <w:rsid w:val="00B745F8"/>
    <w:rsid w:val="00B93A6F"/>
    <w:rsid w:val="00C251E2"/>
    <w:rsid w:val="00C456B3"/>
    <w:rsid w:val="00C55615"/>
    <w:rsid w:val="00C6097F"/>
    <w:rsid w:val="00C720CD"/>
    <w:rsid w:val="00C81B5A"/>
    <w:rsid w:val="00C9433B"/>
    <w:rsid w:val="00CA15E9"/>
    <w:rsid w:val="00CC0555"/>
    <w:rsid w:val="00CC1438"/>
    <w:rsid w:val="00CC4DC9"/>
    <w:rsid w:val="00CC5873"/>
    <w:rsid w:val="00CF32D6"/>
    <w:rsid w:val="00CF75E5"/>
    <w:rsid w:val="00D301BC"/>
    <w:rsid w:val="00D460FE"/>
    <w:rsid w:val="00D5105E"/>
    <w:rsid w:val="00D65EE1"/>
    <w:rsid w:val="00D80C00"/>
    <w:rsid w:val="00D91B38"/>
    <w:rsid w:val="00DC136A"/>
    <w:rsid w:val="00DC3C0B"/>
    <w:rsid w:val="00DC685B"/>
    <w:rsid w:val="00E026AD"/>
    <w:rsid w:val="00E16FA4"/>
    <w:rsid w:val="00E321CC"/>
    <w:rsid w:val="00E32F7C"/>
    <w:rsid w:val="00E35F6D"/>
    <w:rsid w:val="00EA0CD4"/>
    <w:rsid w:val="00EB7D14"/>
    <w:rsid w:val="00EC46CB"/>
    <w:rsid w:val="00EE4575"/>
    <w:rsid w:val="00FC111F"/>
    <w:rsid w:val="00FD1AE0"/>
    <w:rsid w:val="00FE177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53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DDC"/>
    <w:pPr>
      <w:ind w:left="720"/>
      <w:contextualSpacing/>
    </w:pPr>
  </w:style>
  <w:style w:type="paragraph" w:customStyle="1" w:styleId="ConsPlusNormal">
    <w:name w:val="ConsPlusNormal"/>
    <w:rsid w:val="00AD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5450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4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1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locked/>
    <w:rsid w:val="00FE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FE17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E177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nhideWhenUsed/>
    <w:rsid w:val="0053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6DDC"/>
    <w:pPr>
      <w:ind w:left="720"/>
      <w:contextualSpacing/>
    </w:pPr>
  </w:style>
  <w:style w:type="paragraph" w:customStyle="1" w:styleId="ConsPlusNormal">
    <w:name w:val="ConsPlusNormal"/>
    <w:rsid w:val="00AD0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45450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54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A1A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locked/>
    <w:rsid w:val="00FE1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rsid w:val="00FE17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FE177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210-A264-4499-AAB4-AA750880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Прокофьева</dc:creator>
  <cp:lastModifiedBy>Людмила А. Руднева</cp:lastModifiedBy>
  <cp:revision>2</cp:revision>
  <cp:lastPrinted>2020-06-16T10:25:00Z</cp:lastPrinted>
  <dcterms:created xsi:type="dcterms:W3CDTF">2020-06-22T09:31:00Z</dcterms:created>
  <dcterms:modified xsi:type="dcterms:W3CDTF">2020-06-22T09:31:00Z</dcterms:modified>
</cp:coreProperties>
</file>