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4C" w:rsidRPr="009F36BD" w:rsidRDefault="00AF23DD" w:rsidP="00D1574C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-168910</wp:posOffset>
            </wp:positionV>
            <wp:extent cx="533400" cy="6191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3DD" w:rsidRDefault="00AF23DD" w:rsidP="00D1574C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3DD" w:rsidRDefault="00AF23DD" w:rsidP="00D1574C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3DD" w:rsidRPr="00AF23DD" w:rsidRDefault="00AF23DD" w:rsidP="00AF23DD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3DD" w:rsidRPr="00AF23DD" w:rsidRDefault="00AF23DD" w:rsidP="00AF23D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23DD">
        <w:rPr>
          <w:rFonts w:ascii="Times New Roman" w:eastAsia="Times New Roman" w:hAnsi="Times New Roman" w:cs="Times New Roman"/>
          <w:b/>
        </w:rPr>
        <w:t xml:space="preserve">ВОЛГОГРАДСКАЯ ОБЛАСТЬ </w:t>
      </w:r>
    </w:p>
    <w:p w:rsidR="00AF23DD" w:rsidRPr="00AF23DD" w:rsidRDefault="00AF23DD" w:rsidP="00AF23DD">
      <w:pPr>
        <w:pStyle w:val="2"/>
        <w:rPr>
          <w:sz w:val="40"/>
          <w:szCs w:val="40"/>
        </w:rPr>
      </w:pPr>
      <w:proofErr w:type="gramStart"/>
      <w:r w:rsidRPr="00AF23DD">
        <w:rPr>
          <w:sz w:val="40"/>
          <w:szCs w:val="40"/>
        </w:rPr>
        <w:t>П</w:t>
      </w:r>
      <w:proofErr w:type="gramEnd"/>
      <w:r w:rsidRPr="00AF23DD">
        <w:rPr>
          <w:sz w:val="40"/>
          <w:szCs w:val="40"/>
        </w:rPr>
        <w:t xml:space="preserve"> О С Т А Н О В Л Е Н И Е</w:t>
      </w:r>
    </w:p>
    <w:p w:rsidR="00AF23DD" w:rsidRPr="00AF23DD" w:rsidRDefault="00AF23DD" w:rsidP="00AF23DD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AF23DD" w:rsidRPr="00AF23DD" w:rsidRDefault="00AF23DD" w:rsidP="00AF23DD">
      <w:pPr>
        <w:pStyle w:val="1"/>
        <w:pBdr>
          <w:bottom w:val="thinThickSmallGap" w:sz="24" w:space="1" w:color="auto"/>
        </w:pBdr>
        <w:rPr>
          <w:sz w:val="24"/>
        </w:rPr>
      </w:pPr>
      <w:r w:rsidRPr="00AF23DD">
        <w:rPr>
          <w:sz w:val="24"/>
        </w:rPr>
        <w:t>АДМИНИСТРАЦИИ ГОРОДИЩЕНСКОГО МУНИЦИПАЛЬНОГО РАЙОНА</w:t>
      </w:r>
    </w:p>
    <w:p w:rsidR="00AF23DD" w:rsidRDefault="00AF23DD" w:rsidP="0016790A">
      <w:pPr>
        <w:pStyle w:val="a3"/>
        <w:jc w:val="both"/>
        <w:rPr>
          <w:szCs w:val="28"/>
        </w:rPr>
      </w:pPr>
    </w:p>
    <w:p w:rsidR="00130404" w:rsidRPr="00130404" w:rsidRDefault="00130404" w:rsidP="00130404">
      <w:pPr>
        <w:pStyle w:val="4"/>
        <w:rPr>
          <w:sz w:val="24"/>
          <w:szCs w:val="24"/>
        </w:rPr>
      </w:pPr>
      <w:r w:rsidRPr="00130404">
        <w:rPr>
          <w:sz w:val="24"/>
          <w:szCs w:val="24"/>
        </w:rPr>
        <w:t>от  31 декабря 2014 г.  № 2</w:t>
      </w:r>
      <w:r w:rsidR="00775839">
        <w:rPr>
          <w:sz w:val="24"/>
          <w:szCs w:val="24"/>
        </w:rPr>
        <w:t>6</w:t>
      </w:r>
      <w:r>
        <w:rPr>
          <w:sz w:val="24"/>
          <w:szCs w:val="24"/>
        </w:rPr>
        <w:t>73</w:t>
      </w:r>
    </w:p>
    <w:p w:rsidR="00C14B91" w:rsidRDefault="00C14B91" w:rsidP="00130404">
      <w:pPr>
        <w:pStyle w:val="a3"/>
        <w:rPr>
          <w:sz w:val="24"/>
          <w:szCs w:val="24"/>
        </w:rPr>
      </w:pPr>
    </w:p>
    <w:p w:rsidR="009975C0" w:rsidRDefault="009975C0" w:rsidP="00C14B91">
      <w:pPr>
        <w:pStyle w:val="a3"/>
        <w:jc w:val="center"/>
        <w:rPr>
          <w:sz w:val="24"/>
          <w:szCs w:val="24"/>
        </w:rPr>
      </w:pPr>
    </w:p>
    <w:p w:rsidR="00C14B91" w:rsidRDefault="00C14B91" w:rsidP="00C14B91">
      <w:pPr>
        <w:spacing w:after="0" w:line="240" w:lineRule="auto"/>
        <w:ind w:left="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Городищенского муниципального района от 06 ноября 2013 года  № 2193 «Об утверждении муниципальной программы «Устойчивое развитие сельских территорий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</w:t>
      </w:r>
    </w:p>
    <w:p w:rsidR="00C14B91" w:rsidRDefault="00C14B91" w:rsidP="00C14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2014-2017 годы и на период до 2020 года»</w:t>
      </w:r>
    </w:p>
    <w:p w:rsidR="00C14B91" w:rsidRDefault="00C14B91" w:rsidP="00C14B9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4B91" w:rsidRDefault="00C14B91" w:rsidP="001304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15 июля 2013 года № 598 о Федеральной целевой программе «Устойчивое развитие сельских территорий на 2014-2017 годы и на период до 2020 года», п.п. 4 п.15.2 ст. 15 Положения об администрации Городищенского муниципального района Волгоградской области, утвержденного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Думы Волгоградской области от 7 декабря 2011 года № 467, постановлением администрации Городищенского муниципального района от 20.08.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№ 2447 «Об утверждении Положения о муниципальных программах»,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C14B91" w:rsidRDefault="00C14B91" w:rsidP="00C14B91">
      <w:pPr>
        <w:pStyle w:val="a7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паспорт муниципальной программы «Устойчивое развитие сельских территорий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2014-2017 годы и на период до 2020 года»:</w:t>
      </w:r>
    </w:p>
    <w:p w:rsidR="00C14B91" w:rsidRDefault="00C14B91" w:rsidP="00C14B91">
      <w:pPr>
        <w:pStyle w:val="a7"/>
        <w:numPr>
          <w:ilvl w:val="1"/>
          <w:numId w:val="1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12 паспорта программы изложить в следующей редакции:</w:t>
      </w:r>
    </w:p>
    <w:p w:rsidR="00C14B91" w:rsidRDefault="00C14B91" w:rsidP="00C14B91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и источники финансирования Программы</w:t>
      </w:r>
    </w:p>
    <w:p w:rsidR="00C14B91" w:rsidRPr="00A96B69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B69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составит </w:t>
      </w:r>
      <w:r w:rsidR="00A96B69" w:rsidRPr="00A96B69">
        <w:rPr>
          <w:rFonts w:ascii="Times New Roman" w:hAnsi="Times New Roman" w:cs="Times New Roman"/>
          <w:color w:val="000000"/>
          <w:sz w:val="24"/>
          <w:szCs w:val="24"/>
        </w:rPr>
        <w:t>355</w:t>
      </w:r>
      <w:r w:rsidR="003A3EB6">
        <w:rPr>
          <w:rFonts w:ascii="Times New Roman" w:hAnsi="Times New Roman" w:cs="Times New Roman"/>
          <w:color w:val="000000"/>
          <w:sz w:val="24"/>
          <w:szCs w:val="24"/>
        </w:rPr>
        <w:t>,8</w:t>
      </w:r>
      <w:r w:rsidR="00A96B69" w:rsidRPr="00A96B6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E4FB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A3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6B69">
        <w:rPr>
          <w:rFonts w:ascii="Times New Roman" w:hAnsi="Times New Roman" w:cs="Times New Roman"/>
          <w:sz w:val="24"/>
          <w:szCs w:val="24"/>
        </w:rPr>
        <w:t xml:space="preserve">млн. руб., в том числе </w:t>
      </w:r>
      <w:proofErr w:type="gramStart"/>
      <w:r w:rsidRPr="00A96B6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96B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4B91" w:rsidRPr="00E27DC5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DC5">
        <w:rPr>
          <w:rFonts w:ascii="Times New Roman" w:hAnsi="Times New Roman" w:cs="Times New Roman"/>
          <w:sz w:val="24"/>
          <w:szCs w:val="24"/>
        </w:rPr>
        <w:t xml:space="preserve">федерального бюджета – </w:t>
      </w:r>
      <w:r w:rsidR="00E27DC5" w:rsidRPr="00E27DC5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="008936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7DC5" w:rsidRPr="00E27DC5">
        <w:rPr>
          <w:rFonts w:ascii="Times New Roman" w:hAnsi="Times New Roman" w:cs="Times New Roman"/>
          <w:color w:val="000000"/>
          <w:sz w:val="24"/>
          <w:szCs w:val="24"/>
        </w:rPr>
        <w:t xml:space="preserve">657 </w:t>
      </w:r>
      <w:r w:rsidRPr="00E27DC5">
        <w:rPr>
          <w:rFonts w:ascii="Times New Roman" w:hAnsi="Times New Roman" w:cs="Times New Roman"/>
          <w:sz w:val="24"/>
          <w:szCs w:val="24"/>
        </w:rPr>
        <w:t>млн. рублей; из них: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– </w:t>
      </w:r>
      <w:r w:rsidR="000503CC">
        <w:rPr>
          <w:rFonts w:ascii="Times New Roman" w:hAnsi="Times New Roman" w:cs="Times New Roman"/>
          <w:sz w:val="24"/>
          <w:szCs w:val="24"/>
        </w:rPr>
        <w:t>19,1</w:t>
      </w:r>
      <w:r w:rsidR="00EE3DA4">
        <w:rPr>
          <w:rFonts w:ascii="Times New Roman" w:hAnsi="Times New Roman" w:cs="Times New Roman"/>
          <w:sz w:val="24"/>
          <w:szCs w:val="24"/>
        </w:rPr>
        <w:t>00</w:t>
      </w:r>
      <w:r w:rsidR="0005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 28,776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12,726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9,964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– 15,707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12,586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– 18,798 млн. рублей</w:t>
      </w:r>
    </w:p>
    <w:p w:rsidR="00C14B91" w:rsidRPr="00893642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642">
        <w:rPr>
          <w:rFonts w:ascii="Times New Roman" w:hAnsi="Times New Roman" w:cs="Times New Roman"/>
          <w:sz w:val="24"/>
          <w:szCs w:val="24"/>
        </w:rPr>
        <w:t xml:space="preserve">бюджета Волгоградской области – </w:t>
      </w:r>
      <w:r w:rsidR="00893642" w:rsidRPr="00893642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8936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3642" w:rsidRPr="00893642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893642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893642">
        <w:rPr>
          <w:rFonts w:ascii="Times New Roman" w:hAnsi="Times New Roman" w:cs="Times New Roman"/>
          <w:sz w:val="24"/>
          <w:szCs w:val="24"/>
        </w:rPr>
        <w:t>млн. рублей, из них: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– </w:t>
      </w:r>
      <w:r w:rsidR="000503CC">
        <w:rPr>
          <w:rFonts w:ascii="Times New Roman" w:hAnsi="Times New Roman" w:cs="Times New Roman"/>
          <w:sz w:val="24"/>
          <w:szCs w:val="24"/>
        </w:rPr>
        <w:t>14,</w:t>
      </w:r>
      <w:r w:rsidR="00EE3DA4">
        <w:rPr>
          <w:rFonts w:ascii="Times New Roman" w:hAnsi="Times New Roman" w:cs="Times New Roman"/>
          <w:sz w:val="24"/>
          <w:szCs w:val="24"/>
        </w:rPr>
        <w:t>5</w:t>
      </w:r>
      <w:r w:rsidR="00365132">
        <w:rPr>
          <w:rFonts w:ascii="Times New Roman" w:hAnsi="Times New Roman" w:cs="Times New Roman"/>
          <w:sz w:val="24"/>
          <w:szCs w:val="24"/>
        </w:rPr>
        <w:t>70</w:t>
      </w:r>
      <w:r w:rsidR="000503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 32,6</w:t>
      </w:r>
      <w:r w:rsidR="00365132">
        <w:rPr>
          <w:rFonts w:ascii="Times New Roman" w:hAnsi="Times New Roman" w:cs="Times New Roman"/>
          <w:sz w:val="24"/>
          <w:szCs w:val="24"/>
        </w:rPr>
        <w:t>60</w:t>
      </w:r>
      <w:r w:rsidR="00EE3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46,791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16,554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– 28,609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18,430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– 31,231 млн. рублей</w:t>
      </w:r>
    </w:p>
    <w:p w:rsidR="00C14B91" w:rsidRPr="00C311C0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1C0">
        <w:rPr>
          <w:rFonts w:ascii="Times New Roman" w:hAnsi="Times New Roman" w:cs="Times New Roman"/>
          <w:sz w:val="24"/>
          <w:szCs w:val="24"/>
        </w:rPr>
        <w:t>бюджетов поселений Городищенского муниципального района –</w:t>
      </w:r>
      <w:r w:rsidR="00C311C0" w:rsidRPr="00C311C0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C311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311C0" w:rsidRPr="00C311C0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C311C0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C311C0">
        <w:rPr>
          <w:rFonts w:ascii="Times New Roman" w:hAnsi="Times New Roman" w:cs="Times New Roman"/>
          <w:sz w:val="24"/>
          <w:szCs w:val="24"/>
        </w:rPr>
        <w:t>млн. рублей, из них: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– </w:t>
      </w:r>
      <w:r w:rsidR="000503CC">
        <w:rPr>
          <w:rFonts w:ascii="Times New Roman" w:hAnsi="Times New Roman" w:cs="Times New Roman"/>
          <w:sz w:val="24"/>
          <w:szCs w:val="24"/>
        </w:rPr>
        <w:t>2,</w:t>
      </w:r>
      <w:r w:rsidR="00122D75">
        <w:rPr>
          <w:rFonts w:ascii="Times New Roman" w:hAnsi="Times New Roman" w:cs="Times New Roman"/>
          <w:sz w:val="24"/>
          <w:szCs w:val="24"/>
        </w:rPr>
        <w:t>098</w:t>
      </w:r>
      <w:r w:rsidR="0005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2015 год – 5,986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2,783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1,461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– 1,246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1,507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– 1,018 млн. рублей</w:t>
      </w:r>
    </w:p>
    <w:p w:rsidR="00C14B91" w:rsidRPr="00E43253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253">
        <w:rPr>
          <w:rFonts w:ascii="Times New Roman" w:hAnsi="Times New Roman" w:cs="Times New Roman"/>
          <w:sz w:val="24"/>
          <w:szCs w:val="24"/>
        </w:rPr>
        <w:t xml:space="preserve">внебюджетных источников – </w:t>
      </w:r>
      <w:r w:rsidR="00E43253" w:rsidRPr="00E43253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E4325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43253" w:rsidRPr="00E43253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E4325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43253">
        <w:rPr>
          <w:rFonts w:ascii="Times New Roman" w:hAnsi="Times New Roman" w:cs="Times New Roman"/>
          <w:sz w:val="24"/>
          <w:szCs w:val="24"/>
        </w:rPr>
        <w:t>млн. рублей, из них: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– </w:t>
      </w:r>
      <w:r w:rsidR="00C153B3">
        <w:rPr>
          <w:rFonts w:ascii="Times New Roman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год –3,914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год – 4,136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5,288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 – 5,651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6,955 млн. рублей</w:t>
      </w:r>
    </w:p>
    <w:p w:rsidR="00C14B91" w:rsidRDefault="00C14B91" w:rsidP="00C14B9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– 7,318 млн. рублей</w:t>
      </w:r>
    </w:p>
    <w:p w:rsidR="00C14B91" w:rsidRDefault="00C14B91" w:rsidP="00C14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перечень  мероприятий муниципальной программы «Устойчивое развитие сельских территорий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2014-2017 годы и на период до 2020 года» внести изменения согласно приложению 1.</w:t>
      </w:r>
    </w:p>
    <w:p w:rsidR="00C14B91" w:rsidRDefault="00C14B91" w:rsidP="00C14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перечень  мероприятий муниципальной программы «Устойчивое развитие сельских территорий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2014-2017 годы и на период до 2020 года» внести изменения согласно приложению 2.</w:t>
      </w:r>
    </w:p>
    <w:p w:rsidR="00C14B91" w:rsidRDefault="00C14B91" w:rsidP="00C14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данного постановления возложить на заместителя главы администрации Городищенского муниципального района   </w:t>
      </w:r>
      <w:r w:rsidR="002759FC">
        <w:rPr>
          <w:rFonts w:ascii="Times New Roman" w:hAnsi="Times New Roman" w:cs="Times New Roman"/>
          <w:sz w:val="24"/>
          <w:szCs w:val="24"/>
        </w:rPr>
        <w:t>С.П. Чумакова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A48" w:rsidRDefault="001E4A48" w:rsidP="000B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4A48" w:rsidRDefault="001E4A48" w:rsidP="000B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257B" w:rsidRDefault="004B257B" w:rsidP="000B5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56B3" w:rsidRPr="005123B0" w:rsidRDefault="006B38FD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E15E4" w:rsidRPr="005123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56B3" w:rsidRPr="005123B0">
        <w:rPr>
          <w:rFonts w:ascii="Times New Roman" w:hAnsi="Times New Roman" w:cs="Times New Roman"/>
          <w:sz w:val="24"/>
          <w:szCs w:val="24"/>
        </w:rPr>
        <w:t xml:space="preserve"> администрации Городищенского </w:t>
      </w:r>
    </w:p>
    <w:p w:rsidR="009477DD" w:rsidRDefault="00D756B3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B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</w:t>
      </w:r>
      <w:r w:rsidRPr="005123B0">
        <w:rPr>
          <w:rFonts w:ascii="Times New Roman" w:hAnsi="Times New Roman" w:cs="Times New Roman"/>
          <w:sz w:val="24"/>
          <w:szCs w:val="24"/>
        </w:rPr>
        <w:tab/>
      </w:r>
      <w:r w:rsidRPr="005123B0">
        <w:rPr>
          <w:rFonts w:ascii="Times New Roman" w:hAnsi="Times New Roman" w:cs="Times New Roman"/>
          <w:sz w:val="24"/>
          <w:szCs w:val="24"/>
        </w:rPr>
        <w:tab/>
      </w:r>
      <w:r w:rsidRPr="005123B0">
        <w:rPr>
          <w:rFonts w:ascii="Times New Roman" w:hAnsi="Times New Roman" w:cs="Times New Roman"/>
          <w:sz w:val="24"/>
          <w:szCs w:val="24"/>
        </w:rPr>
        <w:tab/>
      </w:r>
      <w:r w:rsidR="006E15E4" w:rsidRPr="005123B0">
        <w:rPr>
          <w:rFonts w:ascii="Times New Roman" w:hAnsi="Times New Roman" w:cs="Times New Roman"/>
          <w:sz w:val="24"/>
          <w:szCs w:val="24"/>
        </w:rPr>
        <w:t xml:space="preserve">     </w:t>
      </w:r>
      <w:r w:rsidRPr="005123B0">
        <w:rPr>
          <w:rFonts w:ascii="Times New Roman" w:hAnsi="Times New Roman" w:cs="Times New Roman"/>
          <w:sz w:val="24"/>
          <w:szCs w:val="24"/>
        </w:rPr>
        <w:t xml:space="preserve"> </w:t>
      </w:r>
      <w:r w:rsidR="005123B0">
        <w:rPr>
          <w:rFonts w:ascii="Times New Roman" w:hAnsi="Times New Roman" w:cs="Times New Roman"/>
          <w:sz w:val="24"/>
          <w:szCs w:val="24"/>
        </w:rPr>
        <w:tab/>
      </w:r>
      <w:r w:rsidR="005123B0">
        <w:rPr>
          <w:rFonts w:ascii="Times New Roman" w:hAnsi="Times New Roman" w:cs="Times New Roman"/>
          <w:sz w:val="24"/>
          <w:szCs w:val="24"/>
        </w:rPr>
        <w:tab/>
      </w:r>
      <w:r w:rsidR="006B38FD">
        <w:rPr>
          <w:rFonts w:ascii="Times New Roman" w:hAnsi="Times New Roman" w:cs="Times New Roman"/>
          <w:sz w:val="24"/>
          <w:szCs w:val="24"/>
        </w:rPr>
        <w:t xml:space="preserve">     </w:t>
      </w:r>
      <w:r w:rsidR="00D274FD">
        <w:rPr>
          <w:rFonts w:ascii="Times New Roman" w:hAnsi="Times New Roman" w:cs="Times New Roman"/>
          <w:sz w:val="24"/>
          <w:szCs w:val="24"/>
        </w:rPr>
        <w:t xml:space="preserve">      </w:t>
      </w:r>
      <w:r w:rsidR="006B38FD">
        <w:rPr>
          <w:rFonts w:ascii="Times New Roman" w:hAnsi="Times New Roman" w:cs="Times New Roman"/>
          <w:sz w:val="24"/>
          <w:szCs w:val="24"/>
        </w:rPr>
        <w:t xml:space="preserve">Ю.Б. </w:t>
      </w:r>
      <w:proofErr w:type="spellStart"/>
      <w:r w:rsidR="006B38FD">
        <w:rPr>
          <w:rFonts w:ascii="Times New Roman" w:hAnsi="Times New Roman" w:cs="Times New Roman"/>
          <w:sz w:val="24"/>
          <w:szCs w:val="24"/>
        </w:rPr>
        <w:t>Долидзе</w:t>
      </w:r>
      <w:proofErr w:type="spellEnd"/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tabs>
          <w:tab w:val="left" w:pos="567"/>
          <w:tab w:val="left" w:pos="5103"/>
        </w:tabs>
        <w:spacing w:after="0" w:line="240" w:lineRule="exact"/>
        <w:ind w:left="4963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6B100B" w:rsidRPr="00DD71EA" w:rsidRDefault="006B100B" w:rsidP="006B100B">
      <w:pPr>
        <w:tabs>
          <w:tab w:val="left" w:pos="5103"/>
        </w:tabs>
        <w:spacing w:after="0" w:line="240" w:lineRule="exact"/>
        <w:ind w:left="49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D71EA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6B100B" w:rsidRDefault="006B100B" w:rsidP="006B100B">
      <w:pPr>
        <w:tabs>
          <w:tab w:val="left" w:pos="5103"/>
        </w:tabs>
        <w:spacing w:after="0" w:line="240" w:lineRule="exact"/>
        <w:ind w:left="496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B100B" w:rsidRPr="00DD71EA" w:rsidRDefault="006B100B" w:rsidP="006B100B">
      <w:pPr>
        <w:tabs>
          <w:tab w:val="left" w:pos="5103"/>
        </w:tabs>
        <w:spacing w:after="0" w:line="240" w:lineRule="exact"/>
        <w:ind w:left="49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6B100B" w:rsidRPr="00130404" w:rsidRDefault="006B100B" w:rsidP="006B100B">
      <w:pPr>
        <w:pStyle w:val="4"/>
        <w:ind w:left="4963"/>
        <w:rPr>
          <w:sz w:val="24"/>
          <w:szCs w:val="24"/>
        </w:rPr>
      </w:pPr>
      <w:r w:rsidRPr="00130404">
        <w:rPr>
          <w:sz w:val="24"/>
          <w:szCs w:val="24"/>
        </w:rPr>
        <w:t>от  31 декабря 2014 г.  № 2</w:t>
      </w:r>
      <w:r w:rsidR="00775839">
        <w:rPr>
          <w:sz w:val="24"/>
          <w:szCs w:val="24"/>
        </w:rPr>
        <w:t>6</w:t>
      </w:r>
      <w:r>
        <w:rPr>
          <w:sz w:val="24"/>
          <w:szCs w:val="24"/>
        </w:rPr>
        <w:t>73</w:t>
      </w:r>
    </w:p>
    <w:p w:rsidR="006B100B" w:rsidRPr="00DD71EA" w:rsidRDefault="006B100B" w:rsidP="006B100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6B100B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B100B" w:rsidRPr="00FD5FC8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FC8">
        <w:rPr>
          <w:rFonts w:ascii="Times New Roman" w:hAnsi="Times New Roman" w:cs="Times New Roman"/>
          <w:sz w:val="24"/>
          <w:szCs w:val="24"/>
        </w:rPr>
        <w:t>Муниципальная</w:t>
      </w:r>
      <w:r w:rsidRPr="00FD5FC8">
        <w:rPr>
          <w:rFonts w:ascii="Times New Roman" w:hAnsi="Times New Roman" w:cs="Times New Roman"/>
          <w:bCs/>
          <w:sz w:val="24"/>
          <w:szCs w:val="24"/>
        </w:rPr>
        <w:t xml:space="preserve"> программа </w:t>
      </w:r>
      <w:proofErr w:type="spellStart"/>
      <w:r w:rsidRPr="00FD5FC8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D5FC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«</w:t>
      </w:r>
      <w:r w:rsidRPr="00FD5FC8">
        <w:rPr>
          <w:rFonts w:ascii="Times New Roman" w:hAnsi="Times New Roman" w:cs="Times New Roman"/>
          <w:sz w:val="24"/>
          <w:szCs w:val="24"/>
        </w:rPr>
        <w:t xml:space="preserve">Устойчивое развитие сельских территорий в </w:t>
      </w:r>
      <w:proofErr w:type="spellStart"/>
      <w:r w:rsidRPr="00FD5FC8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FD5FC8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 на 2014-2017 годы и на период до 2020 года»</w:t>
      </w:r>
    </w:p>
    <w:p w:rsidR="006B100B" w:rsidRPr="00DD71EA" w:rsidRDefault="006B100B" w:rsidP="006B100B">
      <w:pPr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B100B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100B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sz w:val="24"/>
          <w:szCs w:val="24"/>
        </w:rPr>
        <w:t>муниципальной</w:t>
      </w:r>
      <w:r w:rsidRPr="0014578F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</w:p>
    <w:p w:rsidR="006B100B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DD71EA">
        <w:rPr>
          <w:rFonts w:ascii="Times New Roman" w:hAnsi="Times New Roman" w:cs="Times New Roman"/>
          <w:sz w:val="24"/>
          <w:szCs w:val="24"/>
        </w:rPr>
        <w:t>Устойчивое развитие сельских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</w:t>
      </w:r>
      <w:r w:rsidRPr="00DD71EA">
        <w:rPr>
          <w:rFonts w:ascii="Times New Roman" w:hAnsi="Times New Roman" w:cs="Times New Roman"/>
          <w:sz w:val="24"/>
          <w:szCs w:val="24"/>
        </w:rPr>
        <w:t xml:space="preserve"> на 2014-2017 годы и на период до 2020 года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B100B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-106" w:type="dxa"/>
        <w:tblLook w:val="00A0"/>
      </w:tblPr>
      <w:tblGrid>
        <w:gridCol w:w="3240"/>
        <w:gridCol w:w="6330"/>
      </w:tblGrid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DD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Волгоградской области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на 2014-2017 годы и на период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правовой акт, в соответствии с которым разработана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</w:t>
            </w:r>
            <w:r w:rsidRPr="00BA33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A33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A337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A337C">
              <w:rPr>
                <w:rFonts w:ascii="Times New Roman" w:hAnsi="Times New Roman" w:cs="Times New Roman"/>
                <w:sz w:val="24"/>
                <w:szCs w:val="24"/>
              </w:rPr>
              <w:softHyphen/>
              <w:t>17.10.2013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A337C">
              <w:rPr>
                <w:rFonts w:ascii="Times New Roman" w:hAnsi="Times New Roman" w:cs="Times New Roman"/>
                <w:sz w:val="24"/>
                <w:szCs w:val="24"/>
              </w:rPr>
              <w:t xml:space="preserve"> №  289-р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разработке муниципальной программы «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Устойчивое развитие сельских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Волгоградской области 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на 2014-2017 годы и на период до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едеральная целевая программа «Устойчивое развитие сельских территорий на 2014-2017 годы и на период до 2020 года», утвержденная постановлением 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 июля 2013 года № 598, Федеральный закон от 06.10.2003. №131ФЗ «Об общих принципах организации местного самоуправления в Российской Федерации»,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</w:t>
            </w:r>
            <w:r w:rsidRPr="008169BB">
              <w:rPr>
                <w:rFonts w:ascii="Times New Roman" w:hAnsi="Times New Roman" w:cs="Times New Roman"/>
                <w:sz w:val="24"/>
                <w:szCs w:val="24"/>
              </w:rPr>
              <w:t>20.08.2009 г. № 2447 «Об утверждении положения о долгосрочных муниципальных целевых программах».</w:t>
            </w:r>
            <w:proofErr w:type="gramEnd"/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аграрной политики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Городищенском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аграрной политики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Городищенском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6B100B" w:rsidRPr="00323DC9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работе с поселениями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323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3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                                      </w:t>
            </w:r>
            <w:r w:rsidRPr="00323DC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культуре, молодежной политики и спорту администрации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задачи 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проживания сельского населения, и формирование социально-инженерной инфраструктуры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комплексное обустройство объектами социальной инфраструктуры сельских поселений;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потребностей сельского населения в благоустроенном жилье, в том числе молодых семей и молодых специалистов, востребованных для реализации инвестиционных проектов в агропромышленном комплексе;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концентрация ресурсов, направляемых на комплексное обустройство объектами социальной и инженерной инфраструктуры сельских поселений, в которых осуществляется или планируется реализация инвестиционных проектов в агропромышленном комплексе;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поддержка местных инициатив граждан, проживающих в сельской местности, по улучшению условий жизнедеятельности;</w:t>
            </w:r>
          </w:p>
          <w:p w:rsidR="006B100B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поощрение и популяризация достижений в сфере развития сельских территорий.</w:t>
            </w:r>
          </w:p>
          <w:p w:rsidR="006B100B" w:rsidRPr="00DD71EA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5D">
              <w:rPr>
                <w:rFonts w:ascii="Times New Roman" w:hAnsi="Times New Roman" w:cs="Times New Roman"/>
                <w:sz w:val="24"/>
                <w:szCs w:val="24"/>
              </w:rPr>
              <w:t>Важнейшие целевые показатели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ввод (приобретение)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2,868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тыс. кв. метров жилья для граждан, проживающих в сельской местности,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1,080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тыс. кв. метров для молодых семей и молодых специалистов;</w:t>
            </w:r>
          </w:p>
          <w:p w:rsidR="006B100B" w:rsidRPr="00EF28FF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F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4 фельдшерско-акушерского пункта и (или) офиса врачей общей практики; </w:t>
            </w:r>
          </w:p>
          <w:p w:rsidR="006B100B" w:rsidRPr="007C04F2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2">
              <w:rPr>
                <w:rFonts w:ascii="Times New Roman" w:hAnsi="Times New Roman" w:cs="Times New Roman"/>
                <w:sz w:val="24"/>
                <w:szCs w:val="24"/>
              </w:rPr>
              <w:t>ввод в действие 3400 кв. метров плоскостных спортивных сооружений;</w:t>
            </w:r>
          </w:p>
          <w:p w:rsidR="006B100B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49">
              <w:rPr>
                <w:rFonts w:ascii="Times New Roman" w:hAnsi="Times New Roman" w:cs="Times New Roman"/>
                <w:sz w:val="24"/>
                <w:szCs w:val="24"/>
              </w:rPr>
              <w:t>ввод в действие 45,813 км распределительных газовых сетей;</w:t>
            </w:r>
          </w:p>
          <w:p w:rsidR="006B100B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6C">
              <w:rPr>
                <w:rFonts w:ascii="Times New Roman" w:hAnsi="Times New Roman" w:cs="Times New Roman"/>
                <w:sz w:val="24"/>
                <w:szCs w:val="24"/>
              </w:rPr>
              <w:t>ввод в действие 20,589 км локальных водопроводов;</w:t>
            </w:r>
          </w:p>
          <w:p w:rsidR="006B100B" w:rsidRPr="00D630C4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7-и</w:t>
            </w:r>
            <w:r w:rsidRPr="00D630C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местных инициатив граждан, проживающих в сельской местности, получивших </w:t>
            </w:r>
            <w:proofErr w:type="spellStart"/>
            <w:r w:rsidRPr="00D630C4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D630C4">
              <w:rPr>
                <w:rFonts w:ascii="Times New Roman" w:hAnsi="Times New Roman" w:cs="Times New Roman"/>
                <w:sz w:val="24"/>
                <w:szCs w:val="24"/>
              </w:rPr>
              <w:t xml:space="preserve">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(приложение 1).</w:t>
            </w:r>
          </w:p>
          <w:p w:rsidR="006B100B" w:rsidRPr="00DD71EA" w:rsidRDefault="006B100B" w:rsidP="006B100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Сроки 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2014-2020 годы</w:t>
            </w:r>
          </w:p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2014-2017 годы;</w:t>
            </w:r>
          </w:p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этап – 2018-2020 годы.</w:t>
            </w:r>
          </w:p>
          <w:p w:rsidR="006B100B" w:rsidRPr="00DD71EA" w:rsidRDefault="006B100B" w:rsidP="006B10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аграрной политики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Городищенском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по работе с поселениями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323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DC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культуре, молодежной политики и спорту администрации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                                                               р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организаций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(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00B" w:rsidRPr="00DD71EA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  <w:vMerge w:val="restart"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2ED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30" w:type="dxa"/>
          </w:tcPr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E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Pr="00A9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  <w:r w:rsidRPr="00A9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3272ED">
              <w:rPr>
                <w:rFonts w:ascii="Times New Roman" w:hAnsi="Times New Roman" w:cs="Times New Roman"/>
                <w:sz w:val="24"/>
                <w:szCs w:val="24"/>
              </w:rPr>
              <w:t xml:space="preserve">млн. руб., в том числе </w:t>
            </w:r>
            <w:proofErr w:type="gramStart"/>
            <w:r w:rsidRPr="003272E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272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B100B" w:rsidRPr="003272ED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E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– </w:t>
            </w:r>
            <w:r w:rsidRPr="00E27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27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657 </w:t>
            </w:r>
            <w:r w:rsidRPr="003272ED">
              <w:rPr>
                <w:rFonts w:ascii="Times New Roman" w:hAnsi="Times New Roman" w:cs="Times New Roman"/>
                <w:sz w:val="24"/>
                <w:szCs w:val="24"/>
              </w:rPr>
              <w:t xml:space="preserve">млн. рублей; </w:t>
            </w:r>
          </w:p>
          <w:p w:rsidR="006B100B" w:rsidRPr="003272ED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2E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2014 год – 19,100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2015 год – 28,776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2016 год – 12,726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2017 год – 9,964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2018 год – 15,707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2019 год – 12,586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3272ED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2020 год – 18,798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D511EC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0B" w:rsidRPr="00D511EC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1EC">
              <w:rPr>
                <w:rFonts w:ascii="Times New Roman" w:hAnsi="Times New Roman" w:cs="Times New Roman"/>
                <w:sz w:val="24"/>
                <w:szCs w:val="24"/>
              </w:rPr>
              <w:t xml:space="preserve">бюджета Волгоградской области – </w:t>
            </w:r>
            <w:r w:rsidRPr="0089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3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D511EC">
              <w:rPr>
                <w:rFonts w:ascii="Times New Roman" w:hAnsi="Times New Roman" w:cs="Times New Roman"/>
                <w:sz w:val="24"/>
                <w:szCs w:val="24"/>
              </w:rPr>
              <w:t>млн. рублей, из них: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2014 год – 14,570 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2015 год – 32,660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2016 год – 46,791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2017 год – 16,554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2018 год – 28,609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2019 год – 18,430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2020 год – 31,231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406197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0B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9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06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19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</w:t>
            </w:r>
            <w:r w:rsidRPr="004061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1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1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406197">
              <w:rPr>
                <w:rFonts w:ascii="Times New Roman" w:hAnsi="Times New Roman" w:cs="Times New Roman"/>
                <w:sz w:val="24"/>
                <w:szCs w:val="24"/>
              </w:rPr>
              <w:t xml:space="preserve">млн. рублей, </w:t>
            </w:r>
          </w:p>
          <w:p w:rsidR="006B100B" w:rsidRPr="00406197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9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2014 год – 2,098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2015 год – 5,986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2016 год – 2,783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2017 год – 1,461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2018 год – 1,246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2019 год – 1,507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2020 год – 1,018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476DD9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00B" w:rsidRPr="00476DD9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DD9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– </w:t>
            </w:r>
            <w:r w:rsidRPr="00E432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32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476DD9">
              <w:rPr>
                <w:rFonts w:ascii="Times New Roman" w:hAnsi="Times New Roman" w:cs="Times New Roman"/>
                <w:sz w:val="24"/>
                <w:szCs w:val="24"/>
              </w:rPr>
              <w:t xml:space="preserve">млн. рублей, </w:t>
            </w:r>
          </w:p>
          <w:p w:rsidR="006B100B" w:rsidRPr="00476DD9" w:rsidRDefault="006B100B" w:rsidP="006B10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DD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2014 год – 0,0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2015 год –3,914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2016 год – 4,136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2017 год – 5,288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2018 год – 5,651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2019 год – 6,955 млн. рублей</w:t>
            </w:r>
          </w:p>
        </w:tc>
      </w:tr>
      <w:tr w:rsidR="006B100B" w:rsidRPr="00DD71EA" w:rsidTr="006B100B">
        <w:tc>
          <w:tcPr>
            <w:tcW w:w="3240" w:type="dxa"/>
            <w:vMerge/>
          </w:tcPr>
          <w:p w:rsidR="006B100B" w:rsidRPr="00DD71EA" w:rsidRDefault="006B100B" w:rsidP="006B10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30" w:type="dxa"/>
          </w:tcPr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00B">
              <w:rPr>
                <w:rFonts w:ascii="Times New Roman" w:hAnsi="Times New Roman" w:cs="Times New Roman"/>
                <w:sz w:val="24"/>
                <w:szCs w:val="24"/>
              </w:rPr>
              <w:t>2020 год – 7,318 млн. рублей</w:t>
            </w:r>
          </w:p>
          <w:p w:rsidR="006B100B" w:rsidRPr="006B100B" w:rsidRDefault="006B100B" w:rsidP="006B100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4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конечные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30" w:type="dxa"/>
          </w:tcPr>
          <w:p w:rsidR="006B100B" w:rsidRPr="00DD71EA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жилищной проблемы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ьи, проживающей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местности,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семей и молодых специалистов;</w:t>
            </w:r>
          </w:p>
          <w:p w:rsidR="006B100B" w:rsidRPr="00DD71EA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организаций агропромышленного комплекса и социальной сферы села в молодых специалистах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10%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00B" w:rsidRPr="00911A0D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A0D">
              <w:rPr>
                <w:rFonts w:ascii="Times New Roman" w:hAnsi="Times New Roman" w:cs="Times New Roman"/>
                <w:sz w:val="24"/>
                <w:szCs w:val="24"/>
              </w:rPr>
              <w:t>повышения уровня социально-инженерного обустройства в сельской местности, в том числе газом – до 95 процентов, водой – до 95 процентов;</w:t>
            </w:r>
          </w:p>
          <w:p w:rsidR="006B100B" w:rsidRPr="00C324F0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4F0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активности в агропромышленном комплексе;</w:t>
            </w:r>
          </w:p>
          <w:p w:rsidR="006B100B" w:rsidRPr="00240AC9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AC9">
              <w:rPr>
                <w:rFonts w:ascii="Times New Roman" w:hAnsi="Times New Roman" w:cs="Times New Roman"/>
                <w:sz w:val="24"/>
                <w:szCs w:val="24"/>
              </w:rPr>
              <w:t>преодоление оторванности жителей села от основных социальных учреждений;</w:t>
            </w:r>
          </w:p>
          <w:p w:rsidR="006B100B" w:rsidRPr="00240AC9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40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4-х </w:t>
            </w:r>
            <w:proofErr w:type="spellStart"/>
            <w:r w:rsidRPr="0097140F">
              <w:rPr>
                <w:rFonts w:ascii="Times New Roman" w:hAnsi="Times New Roman" w:cs="Times New Roman"/>
                <w:sz w:val="24"/>
                <w:szCs w:val="24"/>
              </w:rPr>
              <w:t>ФАПов</w:t>
            </w:r>
            <w:proofErr w:type="spellEnd"/>
            <w:r w:rsidRPr="00751061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 xml:space="preserve"> </w:t>
            </w:r>
            <w:r w:rsidRPr="00240AC9">
              <w:rPr>
                <w:rFonts w:ascii="Times New Roman" w:hAnsi="Times New Roman" w:cs="Times New Roman"/>
                <w:sz w:val="24"/>
                <w:szCs w:val="24"/>
              </w:rPr>
              <w:t>и 7-и спортивных сооружений.</w:t>
            </w:r>
          </w:p>
          <w:p w:rsidR="006B100B" w:rsidRPr="00DD71EA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миграционного оттока сельского населения, прежде всего молодежи;</w:t>
            </w:r>
          </w:p>
          <w:p w:rsidR="006B100B" w:rsidRPr="00DD71EA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улучшение демографической ситуации в сельской местности и сохранение тенденций роста рождаемости и повышения продолжительности жизни сельского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00B" w:rsidRPr="00DD71EA" w:rsidRDefault="006B100B" w:rsidP="004328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повышение привлекательности сельской местности для проживания и трудовой деятельности.</w:t>
            </w:r>
          </w:p>
          <w:p w:rsidR="006B100B" w:rsidRPr="00DD71EA" w:rsidRDefault="006B100B" w:rsidP="00432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00B" w:rsidRPr="00DD71EA" w:rsidTr="006B100B">
        <w:tc>
          <w:tcPr>
            <w:tcW w:w="3240" w:type="dxa"/>
          </w:tcPr>
          <w:p w:rsidR="006B100B" w:rsidRPr="00DD71EA" w:rsidRDefault="006B100B" w:rsidP="00432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рограммой и </w:t>
            </w:r>
            <w:proofErr w:type="gramStart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реализацией</w:t>
            </w:r>
          </w:p>
        </w:tc>
        <w:tc>
          <w:tcPr>
            <w:tcW w:w="6330" w:type="dxa"/>
          </w:tcPr>
          <w:p w:rsidR="006B100B" w:rsidRPr="00DD71EA" w:rsidRDefault="006B100B" w:rsidP="00432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программой и </w:t>
            </w:r>
            <w:proofErr w:type="gramStart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ее реализацией осуществляет 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6B100B" w:rsidRDefault="006B100B" w:rsidP="00432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осуществляет координатор программы -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аграрной политики</w:t>
            </w:r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323DC9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DD7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6B100B" w:rsidRPr="00DD71EA" w:rsidRDefault="006B100B" w:rsidP="00432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Default="006B100B" w:rsidP="006B100B">
      <w:pPr>
        <w:rPr>
          <w:color w:val="FF0000"/>
          <w:sz w:val="24"/>
          <w:szCs w:val="24"/>
        </w:rPr>
      </w:pPr>
    </w:p>
    <w:p w:rsidR="006B100B" w:rsidRPr="00DD71EA" w:rsidRDefault="006B100B" w:rsidP="006B100B">
      <w:pPr>
        <w:rPr>
          <w:color w:val="FF0000"/>
          <w:sz w:val="24"/>
          <w:szCs w:val="24"/>
        </w:rPr>
      </w:pP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1.Содержание проблемы и обоснование необходимости ее решения программным методом</w:t>
      </w: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Default="006B100B" w:rsidP="006B100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устойчивого развития сельских территорий является одной из важнейших стратегических целей государственной политики Российской Федерации, достижение которой позволит обеспечить продовольственную безопасность, повысить конкурентоспособность российской экономики в условиях ВТО и благосостояние граждан.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причинами сложившейся в течение нескольких десятилетий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преобладание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дотационности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бюджетов на уровне муниципальных районов, высокий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комплексного развития сельских территорий.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Реализация федеральной целевой программы «Социальное развитие села до 2013 года», приоритетных национальных проектов «Развитие АПК», «Образование», «Здоровье», Государственной программы развития сельского хозяйства и регулирования рынков сельскохозяйственной продукции, сырья и продовольствия на 2008-2012 годы,  долгосрочной областной целевой программы «Социальное развитие села» на 2009-2013 годы, создали определенные предпосылки для укрепления производственного и инфраструктурного потенциала села, развития его экономики, повышения занятости и доходов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населения, улучшения его жилищных условий и социальной среды обитания. Но реализация указанных мер оказалась  недостаточной для полного и эффективного использования потенциала сельских территорий, улучшения уровня и качества жизни на селе.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реализации указанных программных мероприятий свидетельствуют об эффективности использования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достижения целевых индикаторов и показателей: уровень газификации сетевым газом домов (квартир) вырос до 91,0% в 2012 году, обеспеченность сельского населения питьевой водой – соответственно до 93%.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Реализация федеральной целевой программы «Социальное развитие села до 2013 года», реализации долгосрочной областной целевой программы «Социальное развитие села» на 2009-2013 годы и других мер государственной поддержки оказали положительно влияние на изменения в социально-трудовой сфере села в части повышения уровня и качества жизни сельского населения, позитивных сдвигов в демографической ситуации и на рынке труда.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Однако разрыв в уровне и качестве жизни в сельской местности в сравнении с городом по-прежнему остается ощутимым.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заработная плата в сельском хозяйстве,  социальное неблагополучие тормозят создание надлежащих условий для здорового образа жизни, повышения позитивной активности, работоспособности и результативной деятельности, а в итоге – для укрепления престижности аграрного труда и сельского места жительства.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Низкая, экономически и социально несправедливая общественная оценка сельскохозяйственного труда не обеспечивают сельскому населению социально-приемлемый уровень доходов. Среднемесячная заработная плата работников в среднем по всем отраслям экономики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 г., достигла 18051 руб. В сельском хозяйстве аналогичный показатель составлял 11616 руб. (на 35,6% меньше среднеотраслевого уровня).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основных инструментов решения стратегической задачи по повышению уровня и качества жизни на селе должна стать государственная программа «Устойчивое развитие сельских территорий на 2014-2017 годы и на период до 2020 года» (далее – «Программа»).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ее реализации позволят стабилизировать численность сельского населения, поднять уровень занятости и доходов,  приблизить  условия жизнедеятельности на селе к  городскому уровню.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совокупности достижение к 2020 </w:t>
      </w:r>
      <w:r>
        <w:rPr>
          <w:rFonts w:ascii="Times New Roman" w:hAnsi="Times New Roman" w:cs="Times New Roman"/>
          <w:sz w:val="24"/>
          <w:szCs w:val="24"/>
        </w:rPr>
        <w:lastRenderedPageBreak/>
        <w:t>году  предусмотренных указанной «Программой»  целевых индикаторов и показателей  будет способствовать укреплению основ для устойчивого и эффективного развития сельского хозяйства и обеспечения агропродовольственной безопасности.</w:t>
      </w:r>
      <w:proofErr w:type="gramEnd"/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обеспечить дальнейшее совершенствование системы охраны и укрепления здоровья населения района, увеличит доступность к качественной медицинской помощи на основе приоритетного использования современных медицинских профилактических технологий. 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имеет развитую сеть автомобильных дорог с твердым покрытием. Район пересекают три федеральные трассы: Москва-Волгоград, Ростов-Волгоград, Саратов-Волгоград. </w:t>
      </w:r>
      <w:proofErr w:type="gramStart"/>
      <w:r>
        <w:rPr>
          <w:rFonts w:ascii="Times New Roman" w:hAnsi="Times New Roman"/>
          <w:sz w:val="24"/>
          <w:szCs w:val="24"/>
        </w:rPr>
        <w:t>Общая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протяженности дорог с твердым покрытием 363,98 км. Развитие транспортной инфраструктуры является ключевым направлением развития, от которого в значительной степени будет зависеть реализация стратегических направлений в АПК.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B100B" w:rsidRDefault="006B100B" w:rsidP="006B100B">
      <w:pPr>
        <w:pStyle w:val="1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Численность населения </w:t>
      </w:r>
      <w:proofErr w:type="spellStart"/>
      <w:r>
        <w:rPr>
          <w:rFonts w:ascii="Times New Roman" w:hAnsi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Волгоградской области на 1 января 2012 г. – 60549 человек, уровень официальной безработицы на начало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 составил 511 человек.</w:t>
      </w:r>
    </w:p>
    <w:p w:rsidR="006B100B" w:rsidRDefault="006B100B" w:rsidP="006B100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Аграрный сектор </w:t>
      </w:r>
      <w:proofErr w:type="spellStart"/>
      <w:r>
        <w:rPr>
          <w:rFonts w:ascii="Times New Roman" w:hAnsi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района сегодня является достаточно </w:t>
      </w:r>
      <w:proofErr w:type="spellStart"/>
      <w:r>
        <w:rPr>
          <w:rFonts w:ascii="Times New Roman" w:hAnsi="Times New Roman"/>
          <w:sz w:val="24"/>
          <w:szCs w:val="24"/>
        </w:rPr>
        <w:t>высококонкурентной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средой. В структуре занятого населения (34 582 чел.) по видам экономической деятельности аграрный сектор занимает значительную долю (10 175 чел.).</w:t>
      </w:r>
    </w:p>
    <w:p w:rsidR="006B100B" w:rsidRDefault="006B100B" w:rsidP="006B100B">
      <w:pPr>
        <w:pStyle w:val="12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Почвенно-климатические условия района позволяют осуществлять масштабное производство высококачественного продовольственного зерна, крупяных культур, семян масличных культур, овощей, фруктов, бахчевых. </w:t>
      </w:r>
      <w:r>
        <w:rPr>
          <w:rFonts w:ascii="Times New Roman" w:hAnsi="Times New Roman"/>
          <w:sz w:val="24"/>
          <w:szCs w:val="24"/>
        </w:rPr>
        <w:t>Сельскохозяйственное производство  обладает некоторой спецификой, связанной с характером производимого им  продукта.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Городищенском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 всегда традиционно развивались обе базовые отрасли сельского хозяйства растениеводство и животноводство. За последние годы  отраслевая структура сельского хозяйства  претерпела существенные изменения. Прослеживается ведущая роль растениеводства в сельском хозяйстве. Технологические процессы в растениеводстве тесно связаны с природными ресурсами, где земля выступает в роли главного средства производства. Наиболее динамично развивающейся отраслью в районе остаётся овощеводство. За счёт внедрения ресурсосберегающих технологий и применения высокоурожайных сортов и гибридов нового поколения удалось увеличить урожайность овощных культур с 328,0 </w:t>
      </w:r>
      <w:proofErr w:type="spellStart"/>
      <w:r>
        <w:rPr>
          <w:rFonts w:ascii="Times New Roman" w:hAnsi="Times New Roman"/>
          <w:sz w:val="24"/>
          <w:szCs w:val="24"/>
        </w:rPr>
        <w:t>ц</w:t>
      </w:r>
      <w:proofErr w:type="spellEnd"/>
      <w:r>
        <w:rPr>
          <w:rFonts w:ascii="Times New Roman" w:hAnsi="Times New Roman"/>
          <w:sz w:val="24"/>
          <w:szCs w:val="24"/>
        </w:rPr>
        <w:t xml:space="preserve">/га в 2009 году до 374,1 </w:t>
      </w:r>
      <w:proofErr w:type="spellStart"/>
      <w:r>
        <w:rPr>
          <w:rFonts w:ascii="Times New Roman" w:hAnsi="Times New Roman"/>
          <w:sz w:val="24"/>
          <w:szCs w:val="24"/>
        </w:rPr>
        <w:t>ц</w:t>
      </w:r>
      <w:proofErr w:type="spellEnd"/>
      <w:r>
        <w:rPr>
          <w:rFonts w:ascii="Times New Roman" w:hAnsi="Times New Roman"/>
          <w:sz w:val="24"/>
          <w:szCs w:val="24"/>
        </w:rPr>
        <w:t>/га в 2012 году.</w:t>
      </w:r>
      <w:r>
        <w:rPr>
          <w:rFonts w:ascii="Times New Roman" w:hAnsi="Times New Roman"/>
          <w:spacing w:val="-2"/>
          <w:sz w:val="24"/>
          <w:szCs w:val="24"/>
        </w:rPr>
        <w:t xml:space="preserve"> Это связано с наличием оросительных систем для полива и благоприятными почвенными условиями для выращивания овощной продукции.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животноводстве остался ряд нерешенных  проблем, и решение их требуют значительных усилий и продолжительного времени. Тенденция  восстановления отрасли не наблюдается. Разведение крупного рогатого скота представляет большой экономический интерес, так как от него получают самые ценные и востребованные продукты питания. </w:t>
      </w:r>
    </w:p>
    <w:p w:rsidR="006B100B" w:rsidRDefault="006B100B" w:rsidP="006B100B">
      <w:pPr>
        <w:pStyle w:val="12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районе имеются достаточные возможности для развития перерабатывающей промышленности. Для их полноценного использования необходимо наращивание и обновление производственных мощностей, внедрение новых технологий, что благотворно повлияет на конкурентоспособность выпускаемой продукции, качество и спрос на нее. </w:t>
      </w:r>
    </w:p>
    <w:p w:rsidR="006B100B" w:rsidRDefault="006B100B" w:rsidP="006B100B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Вместе с тем, недостаточный государственный протекционизм аграрной сферы, ограниченные финансовые возможности отечественных товаропроизводителей, нарушенные связи между экономическими субъектами, высокие риски освоения в животноводстве  предъявляют повышенные требования к научному обоснованию и оценке </w:t>
      </w:r>
      <w:proofErr w:type="gramStart"/>
      <w:r>
        <w:rPr>
          <w:color w:val="000000"/>
        </w:rPr>
        <w:t>эффективности стратегических приоритетов инновационного развития отрасли животноводства</w:t>
      </w:r>
      <w:proofErr w:type="gramEnd"/>
      <w:r>
        <w:rPr>
          <w:color w:val="000000"/>
        </w:rPr>
        <w:t xml:space="preserve"> с учётом особенностей региона.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Машинно-технологический комплекс сельского хозяйства как инновационная база аграрного производства является важнейшей социально-ориентированной </w:t>
      </w:r>
      <w:r>
        <w:rPr>
          <w:rFonts w:ascii="Times New Roman" w:hAnsi="Times New Roman"/>
          <w:sz w:val="24"/>
          <w:szCs w:val="24"/>
        </w:rPr>
        <w:lastRenderedPageBreak/>
        <w:t>производственной системой, регулирующей объемы, качество и экономические характеристики конечной сельскохозяйственной продукции.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последние два года в районе отмечается тенденция снижения темпов выбытия тракторов, комбайнов, с/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машин. Целью технического перевооружения с/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 производства   </w:t>
      </w:r>
      <w:proofErr w:type="spellStart"/>
      <w:r>
        <w:rPr>
          <w:rFonts w:ascii="Times New Roman" w:hAnsi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 2009- 2013 г. являются: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остановка процесса сокращения машинно-тракторного парка;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за счет приобретения новой  высокопроизводительной техники;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внедрение энергосберегающих технологий.</w:t>
      </w:r>
    </w:p>
    <w:p w:rsidR="006B100B" w:rsidRDefault="006B100B" w:rsidP="006B100B">
      <w:pPr>
        <w:shd w:val="clear" w:color="auto" w:fill="FFFFFF"/>
        <w:tabs>
          <w:tab w:val="left" w:pos="197"/>
          <w:tab w:val="left" w:pos="567"/>
        </w:tabs>
        <w:spacing w:after="0" w:line="240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Хозяйственную деятельность в 2012 году осуществляли 21 </w:t>
      </w:r>
      <w:proofErr w:type="gramStart"/>
      <w:r>
        <w:rPr>
          <w:rFonts w:ascii="Times New Roman" w:hAnsi="Times New Roman"/>
          <w:sz w:val="24"/>
          <w:szCs w:val="24"/>
        </w:rPr>
        <w:t>коллективное</w:t>
      </w:r>
      <w:proofErr w:type="gramEnd"/>
      <w:r>
        <w:rPr>
          <w:rFonts w:ascii="Times New Roman" w:hAnsi="Times New Roman"/>
          <w:sz w:val="24"/>
          <w:szCs w:val="24"/>
        </w:rPr>
        <w:t xml:space="preserve">, 143 крестьянско-фермерских хозяйства, 153 индивидуальных предпринимателя  и 14 тыс. личных подсобных хозяйств. </w:t>
      </w:r>
      <w:r>
        <w:rPr>
          <w:rFonts w:ascii="Times New Roman" w:hAnsi="Times New Roman" w:cs="Times New Roman"/>
          <w:sz w:val="24"/>
          <w:szCs w:val="24"/>
        </w:rPr>
        <w:t xml:space="preserve">От стабильного функционирования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АПК</w:t>
      </w:r>
      <w:r>
        <w:rPr>
          <w:rFonts w:ascii="Times New Roman" w:hAnsi="Times New Roman" w:cs="Times New Roman"/>
          <w:sz w:val="24"/>
          <w:szCs w:val="24"/>
        </w:rPr>
        <w:t xml:space="preserve"> в значительной степени зависит формирование доходной часть бюджета 18 сельских и городских поселений муниципального района. </w:t>
      </w:r>
    </w:p>
    <w:p w:rsidR="006B100B" w:rsidRDefault="006B100B" w:rsidP="006B100B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Крупными </w:t>
      </w:r>
      <w:proofErr w:type="spellStart"/>
      <w:r>
        <w:rPr>
          <w:rFonts w:ascii="Times New Roman" w:hAnsi="Times New Roman"/>
          <w:sz w:val="24"/>
          <w:szCs w:val="24"/>
        </w:rPr>
        <w:t>сельхозтоваропроизводителями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являются ОАО «НПГ «Сады </w:t>
      </w:r>
      <w:proofErr w:type="spellStart"/>
      <w:r>
        <w:rPr>
          <w:rFonts w:ascii="Times New Roman" w:hAnsi="Times New Roman"/>
          <w:sz w:val="24"/>
          <w:szCs w:val="24"/>
        </w:rPr>
        <w:t>Придонья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Паньшинского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(производство </w:t>
      </w:r>
      <w:r>
        <w:rPr>
          <w:rFonts w:ascii="Times New Roman" w:hAnsi="Times New Roman" w:cs="Times New Roman"/>
          <w:sz w:val="24"/>
          <w:szCs w:val="24"/>
        </w:rPr>
        <w:t>плодоовощной продукции,</w:t>
      </w:r>
      <w:r>
        <w:rPr>
          <w:rFonts w:ascii="Times New Roman" w:hAnsi="Times New Roman"/>
          <w:sz w:val="24"/>
          <w:szCs w:val="24"/>
        </w:rPr>
        <w:t xml:space="preserve"> соков и детского питания),  ОАО «</w:t>
      </w:r>
      <w:proofErr w:type="spellStart"/>
      <w:r>
        <w:rPr>
          <w:rFonts w:ascii="Times New Roman" w:hAnsi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комбинат хлебопродуктов,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Новорогачинского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(производство мукомольно-крупяной продукции), ООО «Агрофирма Станица» расположенное на территории Новонадеждинского сельского поселения (производство подсолнечного масла), ООО </w:t>
      </w:r>
      <w:proofErr w:type="spellStart"/>
      <w:r>
        <w:rPr>
          <w:rFonts w:ascii="Times New Roman" w:hAnsi="Times New Roman"/>
          <w:sz w:val="24"/>
          <w:szCs w:val="24"/>
        </w:rPr>
        <w:t>с-з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Карповский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Карповского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(производство овощей, зерна, картофеля), ООО «</w:t>
      </w:r>
      <w:proofErr w:type="spellStart"/>
      <w:r>
        <w:rPr>
          <w:rFonts w:ascii="Times New Roman" w:hAnsi="Times New Roman"/>
          <w:sz w:val="24"/>
          <w:szCs w:val="24"/>
        </w:rPr>
        <w:t>Агропрогресс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»,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Кузьмичевского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(производство овощей, зерна, картофеля), ООО «</w:t>
      </w:r>
      <w:proofErr w:type="spellStart"/>
      <w:r>
        <w:rPr>
          <w:rFonts w:ascii="Times New Roman" w:hAnsi="Times New Roman"/>
          <w:sz w:val="24"/>
          <w:szCs w:val="24"/>
        </w:rPr>
        <w:t>Волга-Агросоюз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расположенное на территории Новонадеждинского сельского поселения (производство </w:t>
      </w:r>
      <w:r>
        <w:rPr>
          <w:rFonts w:ascii="Times New Roman" w:hAnsi="Times New Roman" w:cs="Times New Roman"/>
          <w:sz w:val="24"/>
          <w:szCs w:val="24"/>
        </w:rPr>
        <w:t>плодоовощной продукции</w:t>
      </w:r>
      <w:r>
        <w:rPr>
          <w:rFonts w:ascii="Times New Roman" w:hAnsi="Times New Roman"/>
          <w:sz w:val="24"/>
          <w:szCs w:val="24"/>
        </w:rPr>
        <w:t xml:space="preserve">, зерна, картофеля), ООО ПХ «Степное»,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Россошинского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(разведением крупного рогатого скота мясного направления), ООО «</w:t>
      </w:r>
      <w:proofErr w:type="spellStart"/>
      <w:r>
        <w:rPr>
          <w:rFonts w:ascii="Times New Roman" w:hAnsi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птицефабрика» </w:t>
      </w:r>
      <w:r>
        <w:rPr>
          <w:rFonts w:ascii="Times New Roman" w:hAnsi="Times New Roman" w:cs="Times New Roman"/>
          <w:sz w:val="24"/>
          <w:szCs w:val="24"/>
        </w:rPr>
        <w:t>(производство товарного яйца).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ТопАгро</w:t>
      </w:r>
      <w:proofErr w:type="spellEnd"/>
      <w:r>
        <w:rPr>
          <w:rFonts w:ascii="Times New Roman" w:hAnsi="Times New Roman"/>
          <w:sz w:val="24"/>
          <w:szCs w:val="24"/>
        </w:rPr>
        <w:t xml:space="preserve">»,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Самофаловского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(производство </w:t>
      </w:r>
      <w:proofErr w:type="gramStart"/>
      <w:r>
        <w:rPr>
          <w:rFonts w:ascii="Times New Roman" w:hAnsi="Times New Roman"/>
          <w:sz w:val="24"/>
          <w:szCs w:val="24"/>
        </w:rPr>
        <w:t>мяса свинины</w:t>
      </w:r>
      <w:proofErr w:type="gramEnd"/>
      <w:r>
        <w:rPr>
          <w:rFonts w:ascii="Times New Roman" w:hAnsi="Times New Roman"/>
          <w:sz w:val="24"/>
          <w:szCs w:val="24"/>
        </w:rPr>
        <w:t>), ООО «</w:t>
      </w:r>
      <w:proofErr w:type="spellStart"/>
      <w:r>
        <w:rPr>
          <w:rFonts w:ascii="Times New Roman" w:hAnsi="Times New Roman"/>
          <w:sz w:val="24"/>
          <w:szCs w:val="24"/>
        </w:rPr>
        <w:t>Новожизненское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расположенное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Новожизненского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(производство овощей). 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/>
          <w:sz w:val="24"/>
          <w:szCs w:val="24"/>
        </w:rPr>
        <w:t>ТопАгро</w:t>
      </w:r>
      <w:proofErr w:type="spellEnd"/>
      <w:r>
        <w:rPr>
          <w:rFonts w:ascii="Times New Roman" w:hAnsi="Times New Roman"/>
          <w:sz w:val="24"/>
          <w:szCs w:val="24"/>
        </w:rPr>
        <w:t xml:space="preserve">» в рамках участия в приоритетном национальном проекте «Развитие АПК» реализует инвестиционный проект «Строительство свиноводческого комплекса на 104 тыс. голов в год путем расширения строящегося     свиноводческого     комплекса    на    26   тыс.   голов    в    год   в п. Самофаловка </w:t>
      </w:r>
      <w:proofErr w:type="spellStart"/>
      <w:r>
        <w:rPr>
          <w:rFonts w:ascii="Times New Roman" w:hAnsi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Волгоградской области». На сегодняшний день предприятие вышло на проектную мощность первой очереди строительства комплекса – 26 тыс. голов среднегодового содержания. Ввод второй очереди  позволит резко увеличить объемы производства и реализации мяса.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ОАО НПГ «Сады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Придонья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является производителем плодоовощной продукции, соков и детского питания с полной технологической схемой, законченным циклом производства, ведет обработку земли площадью 1425,8 га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Паньшинского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В целях создания высокоэффективного устойчивого развития отрасли растениеводства, улучшения качества питания населения Волгоградской области, предприятие постоянно модернизирует действующее производство.</w:t>
      </w:r>
    </w:p>
    <w:p w:rsidR="006B100B" w:rsidRDefault="006B100B" w:rsidP="006B100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С-з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участником областной программы «Развитие гидромелиоративного комплекса Волгоградской области» и реализует инвестиционный проект, осуществление которого предполагает реконструкцию орошаемых земельных участков площадью 1000 га, что </w:t>
      </w:r>
      <w:r>
        <w:rPr>
          <w:rFonts w:ascii="Times New Roman" w:hAnsi="Times New Roman" w:cs="Times New Roman"/>
          <w:sz w:val="24"/>
          <w:szCs w:val="24"/>
        </w:rPr>
        <w:t xml:space="preserve">послужит гарантией стабильного получения высокой урожайности сельскохозяйственных культур,  обеспечения кормами животноводства и приведет к увеличению уровня занятости молодых специалистов  в сельскохозяйственном производстве. </w:t>
      </w:r>
    </w:p>
    <w:p w:rsidR="006B100B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структуре посевных площадей </w:t>
      </w:r>
      <w:proofErr w:type="spellStart"/>
      <w:r>
        <w:rPr>
          <w:rFonts w:ascii="Times New Roman" w:hAnsi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доля крестьянских (фермерских) хозяйств и индивидуальных предпринимателей ежегодно занимает до 60%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100B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ИП Жукович И.Г.,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ГКФХ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Косьяненко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С.Н., ИП ГКФХ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Шевляков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 ГККФ Кузнецова Е. А., </w:t>
      </w:r>
      <w:r>
        <w:rPr>
          <w:rFonts w:ascii="Times New Roman" w:hAnsi="Times New Roman" w:cs="Times New Roman"/>
          <w:sz w:val="24"/>
          <w:szCs w:val="24"/>
        </w:rPr>
        <w:t xml:space="preserve">(производство овощей, картофеля)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Всего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поселении осуществляют хозяйственную деятельность порядка 75 КФХ и ИП, которые выращивают овощи и картофель на площади более 900 га;</w:t>
      </w:r>
    </w:p>
    <w:p w:rsidR="006B100B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Корытько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А.П.», ИП Фокин С.И.,  ИП Бирюков А.В., ИП Кобзев Д.И., (производство овощей, картофеля)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Всего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поселении осуществляют хозяйственную деятельность порядка 50 КФХ и ИП, которые выращивают овощи и картофель на площади более 1200 га;</w:t>
      </w:r>
    </w:p>
    <w:p w:rsidR="006B100B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ИП Воробьев А. В.,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(производство овощей, картофеля)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Самофаловского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Всего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Самофаловского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поселении осуществляют хозяйственную деятельность порядка 15 КФХ и ИП, которые выращивают овощи и картофель на площади более 500га;</w:t>
      </w:r>
    </w:p>
    <w:p w:rsidR="006B100B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Волга-Агросоюз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Агро-Партнер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«Аксай»,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ИП Заико С.А. (производство овощей, картофеля) на территории Новонадеждинского сельского поселения. Всего на территории Новонадеждинского сельского поселении осуществляют хозяйственную деятельность порядка 20 КФХ и ИП, 4 сельхозпредприятия, которые выращивают овощи,  картофель и плоды на площади более 1000 га;</w:t>
      </w:r>
    </w:p>
    <w:p w:rsidR="006B100B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Производством зерновых, масличных, технических культур  и бахчевых занимаются: КХ Мордвинцев И.П., КХ Колесников А.В., КХ Соболевский П.С., КХ Лопатин А.И. (производство зерна, масличных, технических культур  и бахчи)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Паньшинского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Всего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Вертячинского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Паньшинского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поселении осуществляют хозяйственную деятельность порядка 10 КФХ и ИП, которые выращивают зерно, масличные, технические культуры  и бахчи на площади более 7000 га;</w:t>
      </w:r>
    </w:p>
    <w:p w:rsidR="006B100B" w:rsidRDefault="006B100B" w:rsidP="006B100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2012 года 10 сельскохозяйственных товаропроизводителей района получили чистой прибыли в размере 283 млн. руб. Положительные финансовые результаты напрямую влияют на личное благосостояние граждан. </w:t>
      </w:r>
    </w:p>
    <w:p w:rsidR="006B100B" w:rsidRDefault="006B100B" w:rsidP="006B100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преимуществ «Программы» является использование при ее разработке положительного опыта решения социальных проблем сельского развития в рамках реализации долгосрочной областной целевой программы «Социальное развитие села» на 2009-2013 годы. За период 2009 -2012 годы в рамках указанной программы введено 0,846 тыс.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жилья, в том числе для молодых семей и молодых специалистов 0,432 тыс. кв.м.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сфере привлечения и закрепления в сельском хозяйстве профессионально подготовленной молодежи оказывается государственная поддержка в форме субсидий из федерального и областного бюджетов для строительства жилья молодым семьям и молодым специалистам в рамках областной целевой программы «Социальное развитие села до 2012 года». Так в 2011-2012г.г. было построено 10 домов и приобретено 2 квартиры для работников ОАО НПГ «Сады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Придонья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«Агрофирма Станица», 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Варламовское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молодых специалистов и граждан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Новонадежденском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Кузьмичевском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Котлубанском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Паньшинском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Краснопахаревском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сельских поселениях.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факторов качества жизни, которые формируют предпочтения для проживания в той или иной местности, является обеспеченность и благоустройство жилищного фонда, наличие инженерных коммуникаций, транспортная доступность, а также развитие объектов социальной сферы и результативность их деятельности.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настоящее время обеспечение населения качественной питьевой водой становится одной из приоритетных проблем государственной политики, направленной на сохранение здоровья и улучшение условий проживания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  2012 и 2013 годах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не было ввода в действие локальных водопроводов, а уже в 2014, 2015 и 2016 годах планируется ввести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Ерзовского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поселения – 2,38 км  локального водопровода, на территориях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Кузьмичевского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10,309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Новожизненского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сельского поселения – 1,05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Россошинского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2,0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Карповского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 - 0,8 км.</w:t>
      </w:r>
      <w:proofErr w:type="gramEnd"/>
    </w:p>
    <w:p w:rsidR="006B100B" w:rsidRDefault="006B100B" w:rsidP="006B10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Природный газ становится неотъемлемой частью сельского быта, что важно как в экономическом, так и в социальном плане для будущего развития сельских территорий.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Проведение дальнейших мероприятий по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азификации сельских поселений района позволит решить социальные задачи: улучшить условия быта и поднять уровень производственной деятельности сельского населения за счет более полного обеспечения потребителей природным газом.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 2012 и 2013 годах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не было ввода в действие распределительных газовых сетей, то в 2014, 2015, 2016 годах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Новорогачинского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поселения планируется ввести 1,0 км распределительных газовых сетей,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Кузьмичевского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0,273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Самофаловского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 - 3,9 км, Новонадеждинского сельского поселения -0,8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Новожизненского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1,0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Карповского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10,07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Котлубанского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2,0 км,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Россошинского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– 22,2 км.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позволит сократить отставание социально-экономического уровня жизни, комфортности труда и быта в сельской местности и создаст современную среду обитания для сельского населения.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развития сельского здравоохранения одно из условий социальной стабильности общества, так как социальные, в том числе и медицинские проблемы, особенно ярко проявляются в сельской местности. В состав сельского муниципального здравоохранения в 2012 г. входили 1 центральная районная больница, 3 участковых больницы, 2 амбулатории и 17 фельдшерско-акушерских пунктов (далее - ФАП).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17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требуют капитального ремонта, 1- в  аварийном состоянии. Водопровод отсутствует в 5 –и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имеют индивидуальное отопление. Нет канализации в 6-и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100B" w:rsidRDefault="006B100B" w:rsidP="006B100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Актуальным остается вопрос  повышения уровня удовлетворенности социальных и духовных потребностей сельского населения, повышение уровня и качества услуг, предоставляемых учреждениями культуры и искусства, обеспечение их доступности для широких масс населения, укрепление и обновление материально-технической базы.</w:t>
      </w:r>
    </w:p>
    <w:p w:rsidR="006B100B" w:rsidRPr="00205DD4" w:rsidRDefault="006B100B" w:rsidP="006B1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5DD4">
        <w:rPr>
          <w:rFonts w:ascii="Times New Roman" w:hAnsi="Times New Roman" w:cs="Times New Roman"/>
          <w:sz w:val="24"/>
          <w:szCs w:val="24"/>
        </w:rPr>
        <w:t>Учитывая объективные особенности развития сельских территорий и имеющийся значительный разрыв в уровне и качестве жизни на селе по сравнению с городскими территориями, достижение прогресса в изменении сложившейся ситуации возможно только на условиях продолжения использования программно-целевого метода, в том числе постановки цели и задач, определения целевых индикаторов, обоснования путей решения выявленных проблем с привлечением средств федерального, регионального, местных бюджетов и внебюджетных</w:t>
      </w:r>
      <w:proofErr w:type="gramEnd"/>
      <w:r w:rsidRPr="00205DD4">
        <w:rPr>
          <w:rFonts w:ascii="Times New Roman" w:hAnsi="Times New Roman" w:cs="Times New Roman"/>
          <w:sz w:val="24"/>
          <w:szCs w:val="24"/>
        </w:rPr>
        <w:t xml:space="preserve"> средств. </w:t>
      </w:r>
    </w:p>
    <w:p w:rsidR="006B100B" w:rsidRPr="00205DD4" w:rsidRDefault="006B100B" w:rsidP="006B100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DD4">
        <w:rPr>
          <w:rFonts w:ascii="Times New Roman" w:hAnsi="Times New Roman" w:cs="Times New Roman"/>
          <w:sz w:val="24"/>
          <w:szCs w:val="24"/>
        </w:rPr>
        <w:t xml:space="preserve">На федеральном уровне решение этих вопросов будет осуществляться в рамках реализации федеральной целевой программы «Устойчивое развитие сельских территорий на 2014-2017 годы и на период до 2020 года»; на региональном уровне – на основе Государственной программы Волгоградской области «Устойчивое развитие сельских территорий на 2014-2017 годы и на период до 2020 года»; на местном уровне  - за счет мероприятий муниципальной программы «Устойчивое развитие сельских территорий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05DD4">
        <w:rPr>
          <w:rFonts w:ascii="Times New Roman" w:hAnsi="Times New Roman" w:cs="Times New Roman"/>
          <w:sz w:val="24"/>
          <w:szCs w:val="24"/>
        </w:rPr>
        <w:t xml:space="preserve"> района Волгоградской области на 2014-2017 годы и на период до 2020 года».</w:t>
      </w:r>
    </w:p>
    <w:p w:rsidR="006B100B" w:rsidRPr="00205DD4" w:rsidRDefault="006B100B" w:rsidP="006B100B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5DD4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необходимость реализации данной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05DD4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05DD4">
        <w:rPr>
          <w:rFonts w:ascii="Times New Roman" w:hAnsi="Times New Roman" w:cs="Times New Roman"/>
          <w:sz w:val="24"/>
          <w:szCs w:val="24"/>
        </w:rPr>
        <w:t xml:space="preserve"> обусловлена приоритетностью  федеральной, региональной и муниципальной поддержки развития социальной сферы и инженерной инфраструктуры в сельской местности.</w:t>
      </w:r>
    </w:p>
    <w:p w:rsidR="006B100B" w:rsidRPr="00205DD4" w:rsidRDefault="006B100B" w:rsidP="006B1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t>2. Основные цели и задачи муниципальной программы</w:t>
      </w: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71E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является улучшение условий проживания сельского населения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 и формирование социально-инженерной инфраструктуры сельских территорий.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 Достижение цели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D71EA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должно осуществляться с учетом следующих подходов: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инфраструктуры в соответствии с документами территориального планирования муниципальных районов Волгоградской области и генеральными планами поселений;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- преимущественное обустройство объектами социальной и инженерной инфраструктуры сельских населенных пунктов района, в которых развивается агропромышленное производство, реализуются или имеются планы по реализации инвестиционных проектов в агропромышленной сфере;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  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- комплексное обустройство объектами социальной инфраструктуры сельских поселений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- удовлетворение потребностей сельского населения области в благоустроенном жилье, в том числе молодых семей и молодых специалистов, востребованных для реализации инвестиционных проектов в агропромышленном комплексе региона;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- концентрация ресурсов, направляемых на комплексное обустройство объектами социальной и инженерной инфраструктуры сельских поселений, в которых осуществляется или планируется реализация инвестиционных проектов в агропромышленном комплексе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- поддержка местных инициатив граждан, проживающих в сельской местности района, по улучшению условий жизнедеятельности;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- поощрение и популяризация достижений в сфере развития сельских территорий района.</w:t>
      </w:r>
    </w:p>
    <w:p w:rsidR="006B100B" w:rsidRPr="00DD71EA" w:rsidRDefault="006B100B" w:rsidP="006B1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t>3. Сроки реализации муниципальной программы</w:t>
      </w:r>
    </w:p>
    <w:p w:rsidR="006B100B" w:rsidRPr="00DD71EA" w:rsidRDefault="006B100B" w:rsidP="006B1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с 2014 по 2020 годы.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D71EA">
        <w:rPr>
          <w:rFonts w:ascii="Times New Roman" w:hAnsi="Times New Roman" w:cs="Times New Roman"/>
          <w:sz w:val="24"/>
          <w:szCs w:val="24"/>
        </w:rPr>
        <w:t>рограммы будет осуществляться поэтапно.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1EA">
        <w:rPr>
          <w:rFonts w:ascii="Times New Roman" w:hAnsi="Times New Roman" w:cs="Times New Roman"/>
          <w:sz w:val="24"/>
          <w:szCs w:val="24"/>
        </w:rPr>
        <w:t xml:space="preserve">Первый этап (2014-2017 годы) предусматривает реализацию мероприятий по улучшению уровня и качества жизни сельского населения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района, в которых намечена реализация инвестиционных проектов по развитию агропромышленного комплекса, на основе дифференцированной государственной поддержки из федерального и областного бюджетов.</w:t>
      </w:r>
      <w:proofErr w:type="gramEnd"/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К завершению первого этапа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предполагается, что в результате реализации мер </w:t>
      </w:r>
      <w:proofErr w:type="gramStart"/>
      <w:r w:rsidRPr="00DD71EA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DD71EA">
        <w:rPr>
          <w:rFonts w:ascii="Times New Roman" w:hAnsi="Times New Roman" w:cs="Times New Roman"/>
          <w:sz w:val="24"/>
          <w:szCs w:val="24"/>
        </w:rPr>
        <w:t xml:space="preserve"> достигнут более высокий уровень развития отрасли, определяющий более высокие требования к качеству социальной среды жизнедеятельности в сельской местности. 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В этой связи второй этап реализации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(2018-2020 годы) предполагает наращивание темпов комплексного развития сельских поселений района согласно </w:t>
      </w:r>
      <w:r w:rsidRPr="00DD71EA">
        <w:rPr>
          <w:rFonts w:ascii="Times New Roman" w:hAnsi="Times New Roman" w:cs="Times New Roman"/>
          <w:sz w:val="24"/>
          <w:szCs w:val="24"/>
        </w:rPr>
        <w:lastRenderedPageBreak/>
        <w:t>прогнозируемому росту потребности в создании комфортных условий проживания в сельской местности, с учетом инвестиционной привлекательности района.</w:t>
      </w:r>
    </w:p>
    <w:p w:rsidR="006B100B" w:rsidRPr="00DD71EA" w:rsidRDefault="006B100B" w:rsidP="006B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t>4. Система программных мероприятий</w:t>
      </w: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00B" w:rsidRPr="00DD71EA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ab/>
        <w:t>Муниципальная программа не предусматривает реализацию подпрограмм.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>Перечень мероприятий муниципальной программы "Устойчивое развитие сельских территорий на 2014-2017 годы и на период до 2020 года" приведен в Приложении 2.</w:t>
      </w: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eastAsia="Times New Roman" w:hAnsi="Times New Roman" w:cs="Times New Roman"/>
          <w:sz w:val="24"/>
          <w:szCs w:val="24"/>
        </w:rPr>
        <w:t>а включает следующие мероприятия:</w:t>
      </w: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A">
        <w:rPr>
          <w:rFonts w:ascii="Times New Roman" w:eastAsia="Times New Roman" w:hAnsi="Times New Roman" w:cs="Times New Roman"/>
          <w:sz w:val="24"/>
          <w:szCs w:val="24"/>
        </w:rPr>
        <w:t>улучшение жилищных условий граждан, проживающих в сельской местности, в том числе молодых семей и молодых специалистов;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A">
        <w:rPr>
          <w:rFonts w:ascii="Times New Roman" w:eastAsia="Times New Roman" w:hAnsi="Times New Roman" w:cs="Times New Roman"/>
          <w:sz w:val="24"/>
          <w:szCs w:val="24"/>
        </w:rPr>
        <w:t>комплексное обустройство населенных пунктов, расположенных в сельской местности, объектами социальной и инженерной инфраструктуры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D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A">
        <w:rPr>
          <w:rFonts w:ascii="Times New Roman" w:eastAsia="Times New Roman" w:hAnsi="Times New Roman" w:cs="Times New Roman"/>
          <w:sz w:val="24"/>
          <w:szCs w:val="24"/>
        </w:rPr>
        <w:t>фельдшерско-акушерских пунктов и (или) офисов врачей общей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D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A">
        <w:rPr>
          <w:rFonts w:ascii="Times New Roman" w:eastAsia="Times New Roman" w:hAnsi="Times New Roman" w:cs="Times New Roman"/>
          <w:sz w:val="24"/>
          <w:szCs w:val="24"/>
        </w:rPr>
        <w:t>плоскостных спортивных сооружений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100B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A">
        <w:rPr>
          <w:rFonts w:ascii="Times New Roman" w:eastAsia="Times New Roman" w:hAnsi="Times New Roman" w:cs="Times New Roman"/>
          <w:sz w:val="24"/>
          <w:szCs w:val="24"/>
        </w:rPr>
        <w:t>развитие в сельской местности газификации, водоснабжения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D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71EA">
        <w:rPr>
          <w:rFonts w:ascii="Times New Roman" w:eastAsia="Times New Roman" w:hAnsi="Times New Roman" w:cs="Times New Roman"/>
          <w:sz w:val="24"/>
          <w:szCs w:val="24"/>
        </w:rPr>
        <w:t>грантовая</w:t>
      </w:r>
      <w:proofErr w:type="spellEnd"/>
      <w:r w:rsidRPr="00DD71EA">
        <w:rPr>
          <w:rFonts w:ascii="Times New Roman" w:eastAsia="Times New Roman" w:hAnsi="Times New Roman" w:cs="Times New Roman"/>
          <w:sz w:val="24"/>
          <w:szCs w:val="24"/>
        </w:rPr>
        <w:t xml:space="preserve"> поддержка местных инициатив граждан, проживающих в сельской местности;</w:t>
      </w: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t>5. Ресурсное обеспечение муниципальной программы</w:t>
      </w: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Объем  бюджетного финансирования определяется в установленном порядке в процессе формирования муниципального бюджета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 и плановый период.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Корректировка мероприятий, перечня проектов и объектов осуществляется в соответствии с объемом выделяемых бюджетных средств и сре</w:t>
      </w:r>
      <w:proofErr w:type="gramStart"/>
      <w:r w:rsidRPr="00DD71EA">
        <w:rPr>
          <w:rFonts w:ascii="Times New Roman" w:hAnsi="Times New Roman" w:cs="Times New Roman"/>
          <w:sz w:val="24"/>
          <w:szCs w:val="24"/>
        </w:rPr>
        <w:t>дств др</w:t>
      </w:r>
      <w:proofErr w:type="gramEnd"/>
      <w:r w:rsidRPr="00DD71EA">
        <w:rPr>
          <w:rFonts w:ascii="Times New Roman" w:hAnsi="Times New Roman" w:cs="Times New Roman"/>
          <w:sz w:val="24"/>
          <w:szCs w:val="24"/>
        </w:rPr>
        <w:t xml:space="preserve">угих источников, а также по результатам анализа выполнения мероприятий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>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федерального бюджета, бюджета Волгоградской области, бюджет</w:t>
      </w:r>
      <w:r>
        <w:rPr>
          <w:rFonts w:ascii="Times New Roman" w:hAnsi="Times New Roman" w:cs="Times New Roman"/>
          <w:sz w:val="24"/>
          <w:szCs w:val="24"/>
        </w:rPr>
        <w:t xml:space="preserve">ов поселений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 и внебюджетных источников.</w:t>
      </w:r>
    </w:p>
    <w:p w:rsidR="006B100B" w:rsidRPr="00E60CD4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CD4">
        <w:rPr>
          <w:rFonts w:ascii="Times New Roman" w:hAnsi="Times New Roman" w:cs="Times New Roman"/>
          <w:sz w:val="24"/>
          <w:szCs w:val="24"/>
        </w:rPr>
        <w:t xml:space="preserve">Общий объем финансирования «Программы» в 2014-2020 гг. составляет 436,697 млн. руб., в том числе средства федерального бюджета – 81,813 млн. рублей, средства бюджета Волгоградской области – 239,924 млн. руб., </w:t>
      </w:r>
      <w:r w:rsidRPr="00406197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06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97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 </w:t>
      </w:r>
      <w:r w:rsidRPr="00E60CD4">
        <w:rPr>
          <w:rFonts w:ascii="Times New Roman" w:hAnsi="Times New Roman" w:cs="Times New Roman"/>
          <w:sz w:val="24"/>
          <w:szCs w:val="24"/>
        </w:rPr>
        <w:t>– 15,888 млн. руб.; внебюджетных источников – 35,361 млн. руб.</w:t>
      </w:r>
      <w:proofErr w:type="gramEnd"/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К внебюджетным источникам, привлекаемым для финансирования программы, относятся средства: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государственных и негосударственных предприятий, организаций и объединений, осуществляющих хозяйственную деятельность на селе;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государственных и негосударственных предприятий и организаций, осуществляющих хозяйственную деятельность в городах и размещающих в сельской местности производственные, социальные и рекреационные объекты; 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интегрированных </w:t>
      </w:r>
      <w:proofErr w:type="spellStart"/>
      <w:r w:rsidRPr="00DD71EA">
        <w:rPr>
          <w:rFonts w:ascii="Times New Roman" w:hAnsi="Times New Roman" w:cs="Times New Roman"/>
          <w:sz w:val="24"/>
          <w:szCs w:val="24"/>
        </w:rPr>
        <w:t>сельско-городских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хозяйственных структур (холдингов), включающих промышленные, финансовые, </w:t>
      </w:r>
      <w:proofErr w:type="spellStart"/>
      <w:r w:rsidRPr="00DD71EA">
        <w:rPr>
          <w:rFonts w:ascii="Times New Roman" w:hAnsi="Times New Roman" w:cs="Times New Roman"/>
          <w:sz w:val="24"/>
          <w:szCs w:val="24"/>
        </w:rPr>
        <w:t>агросервисные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и сельскохозяйственные организации;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акционерных обществ, осуществляющих деятельность по инженерному обустройству села;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организаций потребительской кооперации;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государственных и муниципальных организаций социально - культурной сферы сельских поселений, получаемые за счет оказания населению платных услуг и другой хозяйственно-финансовой деятельности;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lastRenderedPageBreak/>
        <w:t>кредиты банков и другие заемные средства, в том числе собственные средства территориальных фондов поддержки индивидуального жилищного строительства, газификации и благоустройства села;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личные средства граждан.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1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71EA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средств, выделяемых на реализацию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r>
        <w:rPr>
          <w:rFonts w:ascii="Times New Roman" w:hAnsi="Times New Roman" w:cs="Times New Roman"/>
          <w:sz w:val="24"/>
          <w:szCs w:val="24"/>
        </w:rPr>
        <w:t>исполнителями</w:t>
      </w:r>
      <w:r w:rsidRPr="00DD71E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6B100B" w:rsidRPr="00DD71EA" w:rsidRDefault="006B100B" w:rsidP="006B100B">
      <w:pPr>
        <w:tabs>
          <w:tab w:val="left" w:pos="3402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100B" w:rsidRDefault="006B100B" w:rsidP="006B10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EA">
        <w:rPr>
          <w:rFonts w:ascii="Times New Roman" w:hAnsi="Times New Roman" w:cs="Times New Roman"/>
          <w:b/>
          <w:sz w:val="24"/>
          <w:szCs w:val="24"/>
        </w:rPr>
        <w:t>6. Технико-экономическое обоснование</w:t>
      </w:r>
    </w:p>
    <w:p w:rsidR="006B100B" w:rsidRPr="004E7266" w:rsidRDefault="006B100B" w:rsidP="006B10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00B" w:rsidRPr="00593BAE" w:rsidRDefault="006B100B" w:rsidP="006B100B">
      <w:pPr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 xml:space="preserve">Обеспечение продовольственной безопасности, повышение роли аграрного сектора экономики  требуют адекватных мер по улучшению условий жизни на селе и, как следствие, роста престижности сельскохозяйственного труда, улучшения демографической и </w:t>
      </w:r>
      <w:proofErr w:type="spellStart"/>
      <w:r w:rsidRPr="00593BAE">
        <w:rPr>
          <w:rFonts w:ascii="Times New Roman" w:hAnsi="Times New Roman" w:cs="Times New Roman"/>
          <w:sz w:val="24"/>
          <w:szCs w:val="24"/>
        </w:rPr>
        <w:t>трудоресурсной</w:t>
      </w:r>
      <w:proofErr w:type="spellEnd"/>
      <w:r w:rsidRPr="00593BAE">
        <w:rPr>
          <w:rFonts w:ascii="Times New Roman" w:hAnsi="Times New Roman" w:cs="Times New Roman"/>
          <w:sz w:val="24"/>
          <w:szCs w:val="24"/>
        </w:rPr>
        <w:t xml:space="preserve"> ситуации в сельской местности. </w:t>
      </w:r>
    </w:p>
    <w:p w:rsidR="006B100B" w:rsidRDefault="006B100B" w:rsidP="006B100B">
      <w:pPr>
        <w:pStyle w:val="11"/>
        <w:widowControl/>
        <w:tabs>
          <w:tab w:val="left" w:pos="0"/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593BAE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593BAE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>«П</w:t>
      </w:r>
      <w:r w:rsidRPr="00DD71EA">
        <w:rPr>
          <w:sz w:val="24"/>
          <w:szCs w:val="24"/>
        </w:rPr>
        <w:t>рограммы</w:t>
      </w:r>
      <w:r>
        <w:rPr>
          <w:sz w:val="24"/>
          <w:szCs w:val="24"/>
        </w:rPr>
        <w:t>»</w:t>
      </w:r>
      <w:r w:rsidRPr="00DD71EA">
        <w:rPr>
          <w:sz w:val="24"/>
          <w:szCs w:val="24"/>
        </w:rPr>
        <w:t xml:space="preserve"> </w:t>
      </w:r>
      <w:r w:rsidRPr="00593BAE">
        <w:rPr>
          <w:sz w:val="24"/>
          <w:szCs w:val="24"/>
        </w:rPr>
        <w:t>позволит</w:t>
      </w:r>
      <w:r>
        <w:rPr>
          <w:sz w:val="24"/>
          <w:szCs w:val="24"/>
        </w:rPr>
        <w:t>:</w:t>
      </w:r>
    </w:p>
    <w:p w:rsidR="006B100B" w:rsidRDefault="006B100B" w:rsidP="006B100B">
      <w:pPr>
        <w:pStyle w:val="11"/>
        <w:widowControl/>
        <w:tabs>
          <w:tab w:val="left" w:pos="0"/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593BAE">
        <w:rPr>
          <w:sz w:val="24"/>
          <w:szCs w:val="24"/>
        </w:rPr>
        <w:t xml:space="preserve"> сформировать необходимые условия для улучшения обеспечения аграрного сектора экономики квалифицированными кадрами, повышения производительности сельскохозяйственного труда и устойчивого  развития сельских территорий</w:t>
      </w:r>
      <w:r>
        <w:rPr>
          <w:sz w:val="24"/>
          <w:szCs w:val="24"/>
        </w:rPr>
        <w:t>;</w:t>
      </w:r>
    </w:p>
    <w:p w:rsidR="006B100B" w:rsidRPr="00593BAE" w:rsidRDefault="006B100B" w:rsidP="006B100B">
      <w:pPr>
        <w:pStyle w:val="11"/>
        <w:widowControl/>
        <w:tabs>
          <w:tab w:val="left" w:pos="0"/>
          <w:tab w:val="left" w:pos="567"/>
        </w:tabs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93BAE">
        <w:rPr>
          <w:sz w:val="24"/>
          <w:szCs w:val="24"/>
        </w:rPr>
        <w:t>ввести (приобрести) жилье для граждан, проживающих в сельской местности, в том числе для молодых семей и молодых специалистов;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>сократить числа семей, нуждающихся в улучшении жилищных условий в сельской местности, в том числе молодых семей и молодых специалистов;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>ввести в действие  фельдшерско-акушерские пункты и (или) офисы врачей общей практики в сельской местности;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прирост сельского населения;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>ввести в действие плоскостные спортивные сооружения в сельской местности;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>ввести в действие распределительные газовые сети в сельской местности;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 xml:space="preserve">увеличить уровень газификации жилых домов (квартир) сетевым газом в сельской местности 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>ввести в действие локальные водопроводы в сельской местности;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>увеличить уровень обеспеченности сельского населения питьевой водой;</w:t>
      </w:r>
    </w:p>
    <w:p w:rsidR="006B100B" w:rsidRPr="00593BAE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3BAE">
        <w:rPr>
          <w:rFonts w:ascii="Times New Roman" w:hAnsi="Times New Roman" w:cs="Times New Roman"/>
          <w:sz w:val="24"/>
          <w:szCs w:val="24"/>
        </w:rPr>
        <w:t xml:space="preserve">реализовать проект местных инициатив граждан, проживающих в сельской местности, получивших </w:t>
      </w:r>
      <w:proofErr w:type="spellStart"/>
      <w:r w:rsidRPr="00593BAE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593BAE">
        <w:rPr>
          <w:rFonts w:ascii="Times New Roman" w:hAnsi="Times New Roman" w:cs="Times New Roman"/>
          <w:sz w:val="24"/>
          <w:szCs w:val="24"/>
        </w:rPr>
        <w:t xml:space="preserve"> поддержку;</w:t>
      </w:r>
    </w:p>
    <w:p w:rsidR="006B100B" w:rsidRDefault="006B100B" w:rsidP="006B100B">
      <w:pPr>
        <w:pStyle w:val="11"/>
        <w:widowControl/>
        <w:tabs>
          <w:tab w:val="left" w:pos="0"/>
          <w:tab w:val="left" w:pos="567"/>
        </w:tabs>
        <w:jc w:val="both"/>
        <w:rPr>
          <w:sz w:val="24"/>
          <w:szCs w:val="24"/>
        </w:rPr>
      </w:pPr>
      <w:r w:rsidRPr="00593BAE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593BAE">
        <w:rPr>
          <w:sz w:val="24"/>
          <w:szCs w:val="24"/>
        </w:rPr>
        <w:t xml:space="preserve">В результате более интенсивного развития социальной и инженерной инфраструктуры в сельской местности, улучшения жилищных и других условий жизни, в том числе на основе </w:t>
      </w:r>
      <w:proofErr w:type="spellStart"/>
      <w:r w:rsidRPr="00593BAE">
        <w:rPr>
          <w:sz w:val="24"/>
          <w:szCs w:val="24"/>
        </w:rPr>
        <w:t>грантовой</w:t>
      </w:r>
      <w:proofErr w:type="spellEnd"/>
      <w:r w:rsidRPr="00593BAE">
        <w:rPr>
          <w:sz w:val="24"/>
          <w:szCs w:val="24"/>
        </w:rPr>
        <w:t xml:space="preserve"> поддержки местных инициатив, произойдут позитивные перемены в качестве жизни сельского населения.</w:t>
      </w:r>
    </w:p>
    <w:p w:rsidR="006B100B" w:rsidRPr="005A6FBD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FBD">
        <w:rPr>
          <w:rFonts w:ascii="Times New Roman" w:hAnsi="Times New Roman" w:cs="Times New Roman"/>
          <w:sz w:val="24"/>
          <w:szCs w:val="24"/>
        </w:rPr>
        <w:t xml:space="preserve">Объем  бюджетного финансирования определяется в соответствии с </w:t>
      </w:r>
      <w:r w:rsidRPr="005A6FBD">
        <w:rPr>
          <w:rFonts w:ascii="Times New Roman" w:hAnsi="Times New Roman" w:cs="Times New Roman"/>
          <w:bCs/>
          <w:sz w:val="24"/>
          <w:szCs w:val="24"/>
        </w:rPr>
        <w:t xml:space="preserve">Государственной программой Волгоградской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6FBD">
        <w:rPr>
          <w:rFonts w:ascii="Times New Roman" w:hAnsi="Times New Roman" w:cs="Times New Roman"/>
          <w:sz w:val="24"/>
          <w:szCs w:val="24"/>
        </w:rPr>
        <w:t>Устойчивое развитие сельских территорий на 2014-2017 годы и на период до 2020 года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B100B" w:rsidRPr="005A6FBD" w:rsidRDefault="006B100B" w:rsidP="006B10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t xml:space="preserve">7. Организация управления </w:t>
      </w:r>
      <w:proofErr w:type="gramStart"/>
      <w:r w:rsidRPr="00DD71EA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proofErr w:type="gramEnd"/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программой и </w:t>
      </w:r>
      <w:proofErr w:type="gramStart"/>
      <w:r w:rsidRPr="00DD71EA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DD71EA">
        <w:rPr>
          <w:rFonts w:ascii="Times New Roman" w:hAnsi="Times New Roman" w:cs="Times New Roman"/>
          <w:b/>
          <w:bCs/>
          <w:sz w:val="24"/>
          <w:szCs w:val="24"/>
        </w:rPr>
        <w:t xml:space="preserve"> ходом ее выполнения. </w:t>
      </w:r>
    </w:p>
    <w:p w:rsidR="006B100B" w:rsidRPr="00DD71EA" w:rsidRDefault="006B100B" w:rsidP="006B1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00B" w:rsidRPr="00DD71EA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 xml:space="preserve">           Управление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ой»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осуществляет заказчик – администрация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Реализацию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 координатор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 исполнители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sz w:val="24"/>
          <w:szCs w:val="24"/>
          <w:shd w:val="clear" w:color="auto" w:fill="FFFFFF"/>
        </w:rPr>
        <w:t>с участием заинтересованных федеральных и областных органов исполнительной власти, а также органов местного самоуправления.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DD71EA">
        <w:rPr>
          <w:rFonts w:ascii="Times New Roman" w:hAnsi="Times New Roman" w:cs="Times New Roman"/>
          <w:sz w:val="24"/>
          <w:szCs w:val="24"/>
        </w:rPr>
        <w:t xml:space="preserve">  исполнени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D71EA">
        <w:rPr>
          <w:rFonts w:ascii="Times New Roman" w:hAnsi="Times New Roman" w:cs="Times New Roman"/>
          <w:sz w:val="24"/>
          <w:szCs w:val="24"/>
        </w:rPr>
        <w:t xml:space="preserve"> мероприятий осуществляет координатор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– отдел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аграрной политики </w:t>
      </w:r>
      <w:r w:rsidRPr="00DD71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00B" w:rsidRPr="00DD71EA" w:rsidRDefault="006B100B" w:rsidP="006B10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 xml:space="preserve">         Ход и результаты выполнения мероприятий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рассматриваются на заседании комиссии по вопросам развития АПК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6B100B" w:rsidRPr="00DD71EA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Исполнители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ежегодно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 до 20-го числа месяца, следующего за отчетным периодом, предоставляют координатору программы отчет о ходе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6B100B" w:rsidRPr="00DD71EA" w:rsidRDefault="006B100B" w:rsidP="006B10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Координатор 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ежегодно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до 25-го числа месяца, следующего за отчетным периодом, предоставляет в отдел экономики администрации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информацию о ходе выполнения мероприятий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bCs/>
          <w:sz w:val="24"/>
          <w:szCs w:val="24"/>
        </w:rPr>
        <w:t>.</w:t>
      </w:r>
    </w:p>
    <w:p w:rsidR="006B100B" w:rsidRPr="00DD71EA" w:rsidRDefault="006B100B" w:rsidP="006B10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1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Отдел экономики администрации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проводит мониторинг, анализ, оценку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bCs/>
          <w:sz w:val="24"/>
          <w:szCs w:val="24"/>
        </w:rPr>
        <w:t xml:space="preserve">, осуществляет </w:t>
      </w:r>
      <w:proofErr w:type="gramStart"/>
      <w:r w:rsidRPr="00DD71EA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DD71EA">
        <w:rPr>
          <w:rFonts w:ascii="Times New Roman" w:hAnsi="Times New Roman" w:cs="Times New Roman"/>
          <w:bCs/>
          <w:sz w:val="24"/>
          <w:szCs w:val="24"/>
        </w:rPr>
        <w:t xml:space="preserve"> эффективным расходованием средств, выделяемых на реализацию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B100B" w:rsidRPr="00DD71EA" w:rsidRDefault="006B100B" w:rsidP="006B1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1EA">
        <w:rPr>
          <w:rFonts w:ascii="Times New Roman" w:eastAsia="Times New Roman" w:hAnsi="Times New Roman" w:cs="Times New Roman"/>
          <w:sz w:val="24"/>
          <w:szCs w:val="24"/>
        </w:rPr>
        <w:t xml:space="preserve">Координатор Программы, с учетом выделяемых на реализацию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</w:t>
      </w:r>
      <w:r w:rsidRPr="00DD71EA">
        <w:rPr>
          <w:rFonts w:ascii="Times New Roman" w:eastAsia="Times New Roman" w:hAnsi="Times New Roman" w:cs="Times New Roman"/>
          <w:sz w:val="24"/>
          <w:szCs w:val="24"/>
        </w:rPr>
        <w:t xml:space="preserve"> финансовых средств, ежегодно уточняет целевые показатели (индикаторы) и затраты по программным мероприятиям.</w:t>
      </w:r>
    </w:p>
    <w:p w:rsidR="006B100B" w:rsidRPr="00DD71EA" w:rsidRDefault="006B100B" w:rsidP="006B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1EA">
        <w:rPr>
          <w:rFonts w:ascii="Times New Roman" w:hAnsi="Times New Roman" w:cs="Times New Roman"/>
          <w:b/>
          <w:sz w:val="24"/>
          <w:szCs w:val="24"/>
        </w:rPr>
        <w:t xml:space="preserve">8 Оценка эффективности социально-экономических и экологических последствий реализации муниципальной программы. </w:t>
      </w:r>
    </w:p>
    <w:p w:rsidR="006B100B" w:rsidRPr="00DD71EA" w:rsidRDefault="006B100B" w:rsidP="006B10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 будет проводиться на основе анализа достижения целевых индикаторов и показателей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(Приложении 1).</w:t>
      </w:r>
    </w:p>
    <w:p w:rsidR="006B100B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Эффективность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оценивается с учетом степени достижения плановых целевых индикаторов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, их фактических значений при условии финансирования мероприятий в отчетном году в объеме, предусмотренном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ой»</w:t>
      </w:r>
      <w:r w:rsidRPr="00DD71EA">
        <w:rPr>
          <w:rFonts w:ascii="Times New Roman" w:hAnsi="Times New Roman" w:cs="Times New Roman"/>
          <w:sz w:val="24"/>
          <w:szCs w:val="24"/>
        </w:rPr>
        <w:t>.</w:t>
      </w:r>
    </w:p>
    <w:p w:rsidR="006B100B" w:rsidRPr="00DD71EA" w:rsidRDefault="006B100B" w:rsidP="006B1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Реализация программных мероприятий будет способствовать созданию условий для устойчивого развития сельских территорий и обеспечит достижение следующих результатов, обеспечивающих социальную и экономическую эффективность: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решение жилищной проблемы для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DD71EA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DD71EA">
        <w:rPr>
          <w:rFonts w:ascii="Times New Roman" w:hAnsi="Times New Roman" w:cs="Times New Roman"/>
          <w:sz w:val="24"/>
          <w:szCs w:val="24"/>
        </w:rPr>
        <w:t xml:space="preserve"> сем</w:t>
      </w:r>
      <w:r>
        <w:rPr>
          <w:rFonts w:ascii="Times New Roman" w:hAnsi="Times New Roman" w:cs="Times New Roman"/>
          <w:sz w:val="24"/>
          <w:szCs w:val="24"/>
        </w:rPr>
        <w:t>ьи</w:t>
      </w:r>
      <w:r w:rsidRPr="00DD71EA">
        <w:rPr>
          <w:rFonts w:ascii="Times New Roman" w:hAnsi="Times New Roman" w:cs="Times New Roman"/>
          <w:sz w:val="24"/>
          <w:szCs w:val="24"/>
        </w:rPr>
        <w:t xml:space="preserve">, проживающих в сельской местности, в том числе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D71EA">
        <w:rPr>
          <w:rFonts w:ascii="Times New Roman" w:hAnsi="Times New Roman" w:cs="Times New Roman"/>
          <w:sz w:val="24"/>
          <w:szCs w:val="24"/>
        </w:rPr>
        <w:t xml:space="preserve"> молодых семей и молодых специалистов;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удовлетворение потребности организаций агропромышленного комплекса и социальной сферы села в молодых специалистах;</w:t>
      </w:r>
    </w:p>
    <w:p w:rsidR="006B100B" w:rsidRPr="0081232C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32C">
        <w:rPr>
          <w:rFonts w:ascii="Times New Roman" w:hAnsi="Times New Roman" w:cs="Times New Roman"/>
          <w:sz w:val="24"/>
          <w:szCs w:val="24"/>
        </w:rPr>
        <w:t>повышения уровня социально-инженерного обустройства в сельской местности, в том числе газом – до 95- и  процентов, водой – до 95- и процентов;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повышение инвестиционной активности в агропромышленном комплексе;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преодоление оторванности жителей села от основных социальных учреждений, более полное удовлетворение их общественно – культурных потребностей;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снижение миграционного оттока сельского населения, прежде всего молодежи;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улучшение демографической ситуации в сельской местности и сохранение тенденций роста рождаемости и повышения продолжительности жизни сельского населения.</w:t>
      </w:r>
    </w:p>
    <w:p w:rsidR="006B100B" w:rsidRPr="00DD71EA" w:rsidRDefault="006B100B" w:rsidP="006B100B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Экономическая 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выражается в увеличении объемов производства сельскохозяйственной продукции за счет роста производительности труда, повышения кадрового потенциала агропромышленного комплекса </w:t>
      </w:r>
      <w:proofErr w:type="spellStart"/>
      <w:r w:rsidRPr="00323DC9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района, стимулирования инвестиционной активности в агропромышленном комплексе. </w:t>
      </w:r>
    </w:p>
    <w:p w:rsidR="006B100B" w:rsidRPr="00DD71EA" w:rsidRDefault="006B100B" w:rsidP="006B100B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Использование механизма </w:t>
      </w:r>
      <w:proofErr w:type="spellStart"/>
      <w:r w:rsidRPr="00DD71EA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программных мероприятий будет способствовать привлечению средств внебюджетных источников на социально-инженерное обустройство населенных пунктов, расположенных в сельской местности.</w:t>
      </w:r>
    </w:p>
    <w:p w:rsidR="006B100B" w:rsidRPr="00DD71EA" w:rsidRDefault="006B100B" w:rsidP="006B100B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будет иметь благоприятные экологические последствия. При разработке проектов строительства объектов социальной сферы и инженерной инфраструктуры села будут предусматриваться меры по защите окружающей среды, что позволит исключить применение в жилищном строительстве экологически вредных материалов, а использование легких современных </w:t>
      </w:r>
      <w:r w:rsidRPr="00DD71EA">
        <w:rPr>
          <w:rFonts w:ascii="Times New Roman" w:hAnsi="Times New Roman" w:cs="Times New Roman"/>
          <w:sz w:val="24"/>
          <w:szCs w:val="24"/>
        </w:rPr>
        <w:lastRenderedPageBreak/>
        <w:t xml:space="preserve">конструктивных материалов приведет к снижению </w:t>
      </w:r>
      <w:proofErr w:type="spellStart"/>
      <w:r w:rsidRPr="00DD71EA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DD71EA">
        <w:rPr>
          <w:rFonts w:ascii="Times New Roman" w:hAnsi="Times New Roman" w:cs="Times New Roman"/>
          <w:sz w:val="24"/>
          <w:szCs w:val="24"/>
        </w:rPr>
        <w:t xml:space="preserve"> на их производство, транспортировку и монтаж.</w:t>
      </w:r>
    </w:p>
    <w:p w:rsidR="006B100B" w:rsidRPr="00DD71EA" w:rsidRDefault="006B100B" w:rsidP="006B100B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>В целом 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 района, созданию новых рабочих мест с учетом применения современных технологий в организации труда, повышению налогооблагаемой базы бюджетов муниципальных образований и обеспечению роста сельской экономики.</w:t>
      </w:r>
    </w:p>
    <w:p w:rsidR="006B100B" w:rsidRPr="00DD71EA" w:rsidRDefault="006B100B" w:rsidP="006B100B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1EA">
        <w:rPr>
          <w:rFonts w:ascii="Times New Roman" w:hAnsi="Times New Roman" w:cs="Times New Roman"/>
          <w:sz w:val="24"/>
          <w:szCs w:val="24"/>
        </w:rPr>
        <w:t xml:space="preserve">Ежегодно оценка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DD71E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D71EA">
        <w:rPr>
          <w:rFonts w:ascii="Times New Roman" w:hAnsi="Times New Roman" w:cs="Times New Roman"/>
          <w:sz w:val="24"/>
          <w:szCs w:val="24"/>
        </w:rPr>
        <w:t xml:space="preserve">  будет производиться на основе системы целевых индикаторов, обеспечивающих мониторинг динамики изменений в развитии сельских территорий за отчетный период с целью уточнения или корректировки поставленных задач и проводимых мероприятий.</w:t>
      </w:r>
    </w:p>
    <w:p w:rsidR="00765178" w:rsidRDefault="00765178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5178" w:rsidSect="00146EDC">
          <w:pgSz w:w="11906" w:h="16838"/>
          <w:pgMar w:top="1134" w:right="1276" w:bottom="851" w:left="1418" w:header="709" w:footer="709" w:gutter="0"/>
          <w:cols w:space="708"/>
          <w:docGrid w:linePitch="360"/>
        </w:sectPr>
      </w:pPr>
    </w:p>
    <w:tbl>
      <w:tblPr>
        <w:tblW w:w="15580" w:type="dxa"/>
        <w:tblLook w:val="01E0"/>
      </w:tblPr>
      <w:tblGrid>
        <w:gridCol w:w="9468"/>
        <w:gridCol w:w="6112"/>
      </w:tblGrid>
      <w:tr w:rsidR="00B32E65" w:rsidRPr="00B32E65" w:rsidTr="0043282B">
        <w:trPr>
          <w:trHeight w:val="1081"/>
        </w:trPr>
        <w:tc>
          <w:tcPr>
            <w:tcW w:w="946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</w:rPr>
              <w:t>ПРИЛОЖЕНИЕ 1</w:t>
            </w: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</w:rPr>
              <w:t xml:space="preserve">к муниципальной программе «Устойчивое развитие сельских территорий  в </w:t>
            </w:r>
            <w:proofErr w:type="spellStart"/>
            <w:r w:rsidRPr="00B32E65">
              <w:rPr>
                <w:rFonts w:ascii="Times New Roman" w:hAnsi="Times New Roman" w:cs="Times New Roman"/>
              </w:rPr>
              <w:t>Городищенском</w:t>
            </w:r>
            <w:proofErr w:type="spellEnd"/>
            <w:r w:rsidRPr="00B32E65">
              <w:rPr>
                <w:rFonts w:ascii="Times New Roman" w:hAnsi="Times New Roman" w:cs="Times New Roman"/>
              </w:rPr>
              <w:t xml:space="preserve"> муниципальном районе Волгоградской области на 2014-2017 годы и на период до 2020 года»</w:t>
            </w:r>
          </w:p>
        </w:tc>
      </w:tr>
    </w:tbl>
    <w:p w:rsidR="00B32E65" w:rsidRPr="00B32E65" w:rsidRDefault="00B32E65" w:rsidP="00B32E65">
      <w:pPr>
        <w:spacing w:after="0" w:line="240" w:lineRule="auto"/>
        <w:rPr>
          <w:rFonts w:ascii="Times New Roman" w:hAnsi="Times New Roman" w:cs="Times New Roman"/>
        </w:rPr>
      </w:pPr>
      <w:r w:rsidRPr="00B32E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ПЕРЕЧЕНЬ</w:t>
      </w:r>
    </w:p>
    <w:p w:rsidR="00B32E65" w:rsidRPr="00B32E65" w:rsidRDefault="00B32E65" w:rsidP="00B32E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E65">
        <w:rPr>
          <w:rFonts w:ascii="Times New Roman" w:hAnsi="Times New Roman" w:cs="Times New Roman"/>
        </w:rPr>
        <w:t xml:space="preserve"> мероприятий муниципальной программы </w:t>
      </w:r>
    </w:p>
    <w:p w:rsidR="00B32E65" w:rsidRPr="00B32E65" w:rsidRDefault="00B32E65" w:rsidP="00B32E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E65">
        <w:rPr>
          <w:rFonts w:ascii="Times New Roman" w:hAnsi="Times New Roman" w:cs="Times New Roman"/>
        </w:rPr>
        <w:t xml:space="preserve">«Устойчивое развитие сельских территорий в </w:t>
      </w:r>
      <w:proofErr w:type="spellStart"/>
      <w:r w:rsidRPr="00B32E65">
        <w:rPr>
          <w:rFonts w:ascii="Times New Roman" w:hAnsi="Times New Roman" w:cs="Times New Roman"/>
        </w:rPr>
        <w:t>Городищенском</w:t>
      </w:r>
      <w:proofErr w:type="spellEnd"/>
      <w:r w:rsidRPr="00B32E65">
        <w:rPr>
          <w:rFonts w:ascii="Times New Roman" w:hAnsi="Times New Roman" w:cs="Times New Roman"/>
        </w:rPr>
        <w:t xml:space="preserve"> муниципальном районе Волгоградской области </w:t>
      </w:r>
    </w:p>
    <w:p w:rsidR="00B32E65" w:rsidRPr="00B32E65" w:rsidRDefault="00B32E65" w:rsidP="00B32E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E65">
        <w:rPr>
          <w:rFonts w:ascii="Times New Roman" w:hAnsi="Times New Roman" w:cs="Times New Roman"/>
        </w:rPr>
        <w:t>на 2014-2017 годы и на период до 2020 года»</w:t>
      </w:r>
    </w:p>
    <w:p w:rsidR="00B32E65" w:rsidRPr="00B32E65" w:rsidRDefault="00B32E65" w:rsidP="00B32E6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989"/>
        <w:gridCol w:w="1559"/>
        <w:gridCol w:w="1276"/>
        <w:gridCol w:w="992"/>
        <w:gridCol w:w="1134"/>
        <w:gridCol w:w="1134"/>
        <w:gridCol w:w="992"/>
        <w:gridCol w:w="992"/>
        <w:gridCol w:w="1134"/>
      </w:tblGrid>
      <w:tr w:rsidR="00B32E65" w:rsidRPr="00B32E65" w:rsidTr="0043282B">
        <w:tc>
          <w:tcPr>
            <w:tcW w:w="648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89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целевого показателя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54" w:type="dxa"/>
            <w:gridSpan w:val="7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Значение целевых показателей</w:t>
            </w:r>
          </w:p>
        </w:tc>
      </w:tr>
      <w:tr w:rsidR="00B32E65" w:rsidRPr="00B32E65" w:rsidTr="0043282B">
        <w:tc>
          <w:tcPr>
            <w:tcW w:w="648" w:type="dxa"/>
            <w:vMerge/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vMerge/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Ввод (приобретение) жилья для граждан, проживающих в сельской местности, - всего: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438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504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504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Обеспеченность семей жильем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 том числе для молодых семей и молодых специалистов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1.1.а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Обеспеченность молодых семей, молодых специалистов жильем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Ввод в действие фельдшерско-акушерских пунктов и (или) офисов врачей общей практики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32E65" w:rsidRPr="00B32E65" w:rsidTr="0043282B">
        <w:tc>
          <w:tcPr>
            <w:tcW w:w="648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989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Ввод в действие плоскостных спортивных сооружений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B32E65" w:rsidRPr="00B32E65" w:rsidTr="0043282B">
        <w:tc>
          <w:tcPr>
            <w:tcW w:w="648" w:type="dxa"/>
            <w:vMerge/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vMerge/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</w:tr>
      <w:tr w:rsidR="00B32E65" w:rsidRPr="00B32E65" w:rsidTr="0043282B">
        <w:trPr>
          <w:trHeight w:val="470"/>
        </w:trPr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дорог в сельской местности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километры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6,47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0,6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Ввод в действие распределительных газовых сетей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9,38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14,3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Уровень газификации жилых домов (квартир) сетевым газом в сельской местности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Ввод в действие локальных водопроводов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32,38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2,08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сельского населения питьевой водой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B32E65" w:rsidRPr="00B32E65" w:rsidTr="0043282B">
        <w:tc>
          <w:tcPr>
            <w:tcW w:w="64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98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реализованных проектов местных инициатив граждан, проживающих в сельской местности, получивших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грантовую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</w:t>
            </w:r>
          </w:p>
        </w:tc>
        <w:tc>
          <w:tcPr>
            <w:tcW w:w="1559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6B100B" w:rsidRDefault="006B100B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E65" w:rsidRDefault="00B32E65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E65" w:rsidRDefault="00B32E65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E65" w:rsidRDefault="00B32E65" w:rsidP="0051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0" w:type="dxa"/>
        <w:tblLook w:val="01E0"/>
      </w:tblPr>
      <w:tblGrid>
        <w:gridCol w:w="9468"/>
        <w:gridCol w:w="6112"/>
      </w:tblGrid>
      <w:tr w:rsidR="00B32E65" w:rsidRPr="00B32E65" w:rsidTr="0043282B">
        <w:trPr>
          <w:trHeight w:val="1081"/>
        </w:trPr>
        <w:tc>
          <w:tcPr>
            <w:tcW w:w="9468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2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к муниципальной программе «Устойчивое развитие сельских территорий  в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Городищенском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Волгоградской области на 2014-2017 годы и на период до 2020 года»</w:t>
            </w:r>
          </w:p>
        </w:tc>
      </w:tr>
    </w:tbl>
    <w:p w:rsidR="00B32E65" w:rsidRPr="00B32E65" w:rsidRDefault="00B32E65" w:rsidP="00B32E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ПЕРЕЧЕНЬ</w:t>
      </w:r>
    </w:p>
    <w:p w:rsidR="00B32E65" w:rsidRPr="00B32E65" w:rsidRDefault="00B32E65" w:rsidP="00B32E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E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мероприятий муниципальной программы</w:t>
      </w:r>
    </w:p>
    <w:p w:rsidR="00B32E65" w:rsidRPr="00B32E65" w:rsidRDefault="00B32E65" w:rsidP="00B32E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2E65">
        <w:rPr>
          <w:rFonts w:ascii="Times New Roman" w:hAnsi="Times New Roman" w:cs="Times New Roman"/>
          <w:sz w:val="20"/>
          <w:szCs w:val="20"/>
        </w:rPr>
        <w:t xml:space="preserve">«Устойчивое развитие сельских территорий в </w:t>
      </w:r>
      <w:proofErr w:type="spellStart"/>
      <w:r w:rsidRPr="00B32E65">
        <w:rPr>
          <w:rFonts w:ascii="Times New Roman" w:hAnsi="Times New Roman" w:cs="Times New Roman"/>
          <w:sz w:val="20"/>
          <w:szCs w:val="20"/>
        </w:rPr>
        <w:t>Городищенском</w:t>
      </w:r>
      <w:proofErr w:type="spellEnd"/>
      <w:r w:rsidRPr="00B32E65">
        <w:rPr>
          <w:rFonts w:ascii="Times New Roman" w:hAnsi="Times New Roman" w:cs="Times New Roman"/>
          <w:sz w:val="20"/>
          <w:szCs w:val="20"/>
        </w:rPr>
        <w:t xml:space="preserve"> муниципальном районе Волгоградской области на 2014-2017 годы и на период до 2020 года»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0"/>
        <w:gridCol w:w="1800"/>
        <w:gridCol w:w="1202"/>
        <w:gridCol w:w="1318"/>
        <w:gridCol w:w="1260"/>
        <w:gridCol w:w="1440"/>
        <w:gridCol w:w="1260"/>
        <w:gridCol w:w="1620"/>
        <w:gridCol w:w="1381"/>
        <w:gridCol w:w="59"/>
        <w:gridCol w:w="1381"/>
      </w:tblGrid>
      <w:tr w:rsidR="00B32E65" w:rsidRPr="00B32E65" w:rsidTr="0043282B">
        <w:tc>
          <w:tcPr>
            <w:tcW w:w="648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 государственной программы, по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6898" w:type="dxa"/>
            <w:gridSpan w:val="5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реализации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Плановые сроки реализации мероприятия</w:t>
            </w:r>
          </w:p>
        </w:tc>
      </w:tr>
      <w:tr w:rsidR="00B32E65" w:rsidRPr="00B32E65" w:rsidTr="0043282B">
        <w:tc>
          <w:tcPr>
            <w:tcW w:w="648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80" w:type="dxa"/>
            <w:gridSpan w:val="4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381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440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60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бюджетов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620" w:type="dxa"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381" w:type="dxa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32E65" w:rsidRPr="00B32E65" w:rsidTr="0043282B">
        <w:tc>
          <w:tcPr>
            <w:tcW w:w="16429" w:type="dxa"/>
            <w:gridSpan w:val="12"/>
            <w:tcBorders>
              <w:bottom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 программа  " Устойчивое развитие сельских территорий в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Городищенском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Волгоградской области на 2014-2017 годы и на период до 2020 года "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Улучшение жилищных условий граждан, проживающих в сельской местности, всего</w:t>
            </w: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Отдел аграрной политики </w:t>
            </w:r>
            <w:proofErr w:type="spellStart"/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админи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страции</w:t>
            </w:r>
            <w:proofErr w:type="spellEnd"/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,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(городских)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0  кв.м.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12478,6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4018,1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4716,9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3743,6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438 кв.м.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13788,0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5791,0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3861,0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4136,0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360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17626,0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7403,0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4935,0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5288,0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432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18835,0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7911,0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5273,0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5651,0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432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23184,0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9737,0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6492,0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6955,0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504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rPr>
          <w:trHeight w:val="986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24394,0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10245,0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6831,0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7318,0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504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rPr>
          <w:trHeight w:val="25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молодых семей и молодых специалистов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Отдел аграрной политики </w:t>
            </w:r>
            <w:proofErr w:type="spellStart"/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нистрации</w:t>
            </w:r>
            <w:proofErr w:type="spellEnd"/>
            <w:proofErr w:type="gram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ципального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, главы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ких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(городских)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  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6153,8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1981,6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2326,2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1846,2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216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4136,0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1737,0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108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8813,0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3701,0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2468,0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2644,0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216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9418,0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3955,0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2609,0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2854,0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216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9936,0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4173,0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2980,0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216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10455,0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2927,0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3137,0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216 кв</w:t>
            </w:r>
            <w:proofErr w:type="gram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110305,6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45105,1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32108,9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33091,6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2670 кв.м. жилья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сети фельдшерско-акушерских пунктов и (или) офисов врачей общей практики в сельской местности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 работе с поселениями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главы сельских (городских) 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14754,0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4427,0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10327,0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ФАП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rPr>
          <w:trHeight w:val="279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16836,0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5050,0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11786,0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ФАП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18668,0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5600,0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13068,0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ФАП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50258,0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15077,0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35181,0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сети плоскостных спортивных сооружений в сельской местности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культуре, молодежной политики и спорту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главы сельских (городских) 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4 единицы/ 1600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2015-2020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1816,0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1089,0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единица/ 400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2015-2020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1743,0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1098,0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единица/ 400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2015-2020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единица/ 400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2015-2020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2184,0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единица/ 400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2015-2020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2296,0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1378,0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229,0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единица/ 400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2015-2020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16111,0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6034,0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8519,0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1558,0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 единиц/ 3600 кв.м.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2015-2020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Строительство, реконструкция дорог в сельской местности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 работе с поселениями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главы сельских (городских) 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15306,3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6336,8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7438,9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1530,6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6,47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25306,3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10476,8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12298,9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9,47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газификации в сельской местности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 работе с поселениями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главы сельских (городских) 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16544,7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6849,4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8040,9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1654,4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9,38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23449,00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23432,75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14,3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1,0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1,0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1,0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6957,00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6957,00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0,9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rPr>
          <w:trHeight w:val="49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68550,7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6849,4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60030,65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1670,65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27,58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2014-202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водоснабжения в сельской местности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по работе с поселениями</w:t>
            </w: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 главы сельских (городских) 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35766,8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19100,0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14569,1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2097,7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10,3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20105,0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8323,4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9771,1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32,38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8358,60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5974,30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2384,30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2,08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2278,60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1139,30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1139,30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1,6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1678,60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839,30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839,30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1,0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2178,60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1089,30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1089,30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0,75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1178,40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589,20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589,20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0,25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rPr>
          <w:trHeight w:val="231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71544,6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27423,4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33971,6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10149,6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48,36 км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2014-2020 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Грантовая</w:t>
            </w:r>
            <w:proofErr w:type="spellEnd"/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поддержка местных инициатив граждан, проживающих в сельской местности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Отдел аграрной политики  администрации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района,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главы сельских (городских)  поселений </w:t>
            </w:r>
            <w:proofErr w:type="spellStart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района.</w:t>
            </w: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 xml:space="preserve">2014-2020 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248,40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291,60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 грант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2270,0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грант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2420,0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грант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2592,0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1296,0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грант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2732,0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1366,0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1366,0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грант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2872,0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 грант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2014-2020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13786,0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6691,4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6734,6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7 грантов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2014-2020</w:t>
            </w: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E65" w:rsidRPr="00B32E65" w:rsidTr="0043282B">
        <w:trPr>
          <w:trHeight w:val="33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государственной программе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35766,8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19100,0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14569,1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2097,7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71334,6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28776,1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32659,4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3913,6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66435,6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46791,05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2782,6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4136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33267,6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16554,3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5288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51213,6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28609,3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39478,6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18430,3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6955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58365,4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31231,2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E65" w:rsidRPr="00B32E65" w:rsidTr="0043282B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2014-2020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355863,2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117657,1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188844,7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16098,9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2E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33261,6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5" w:rsidRPr="00B32E65" w:rsidRDefault="00B32E65" w:rsidP="00B3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2E65" w:rsidRPr="00B32E65" w:rsidRDefault="00B32E65" w:rsidP="00B32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2E65" w:rsidRPr="00B32E65" w:rsidRDefault="00B32E65" w:rsidP="00B32E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2E65" w:rsidRPr="00B32E65" w:rsidRDefault="00B32E65" w:rsidP="00B32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2E65" w:rsidRPr="00B32E65" w:rsidSect="00765178">
      <w:pgSz w:w="16838" w:h="11906" w:orient="landscape"/>
      <w:pgMar w:top="1418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6CA"/>
    <w:multiLevelType w:val="hybridMultilevel"/>
    <w:tmpl w:val="C846DC22"/>
    <w:lvl w:ilvl="0" w:tplc="B24EE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F63FD"/>
    <w:multiLevelType w:val="hybridMultilevel"/>
    <w:tmpl w:val="56F2DE36"/>
    <w:lvl w:ilvl="0" w:tplc="664C0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EF118C"/>
    <w:multiLevelType w:val="hybridMultilevel"/>
    <w:tmpl w:val="E558F5E8"/>
    <w:lvl w:ilvl="0" w:tplc="3474A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94A57"/>
    <w:multiLevelType w:val="multilevel"/>
    <w:tmpl w:val="21D09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681F492B"/>
    <w:multiLevelType w:val="hybridMultilevel"/>
    <w:tmpl w:val="20827B52"/>
    <w:lvl w:ilvl="0" w:tplc="90207F3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C2BE3"/>
    <w:multiLevelType w:val="hybridMultilevel"/>
    <w:tmpl w:val="B8040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B34E93"/>
    <w:multiLevelType w:val="hybridMultilevel"/>
    <w:tmpl w:val="B7C69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00E15"/>
    <w:multiLevelType w:val="multilevel"/>
    <w:tmpl w:val="EEC6D782"/>
    <w:lvl w:ilvl="0">
      <w:start w:val="1"/>
      <w:numFmt w:val="decimal"/>
      <w:lvlText w:val="%1."/>
      <w:lvlJc w:val="left"/>
      <w:pPr>
        <w:ind w:left="1959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585"/>
    <w:rsid w:val="00014DD8"/>
    <w:rsid w:val="0003068A"/>
    <w:rsid w:val="00041DAB"/>
    <w:rsid w:val="000503CC"/>
    <w:rsid w:val="00061A78"/>
    <w:rsid w:val="0007704E"/>
    <w:rsid w:val="00083A20"/>
    <w:rsid w:val="000B5A40"/>
    <w:rsid w:val="000C125F"/>
    <w:rsid w:val="000E3EFF"/>
    <w:rsid w:val="000F5789"/>
    <w:rsid w:val="000F64B6"/>
    <w:rsid w:val="00121A7A"/>
    <w:rsid w:val="00122D75"/>
    <w:rsid w:val="00127E80"/>
    <w:rsid w:val="00130404"/>
    <w:rsid w:val="00133EE3"/>
    <w:rsid w:val="00141E2D"/>
    <w:rsid w:val="00146EDC"/>
    <w:rsid w:val="001628B2"/>
    <w:rsid w:val="00165A03"/>
    <w:rsid w:val="0016790A"/>
    <w:rsid w:val="00190EC9"/>
    <w:rsid w:val="00192CDB"/>
    <w:rsid w:val="001972F5"/>
    <w:rsid w:val="001A2669"/>
    <w:rsid w:val="001A3186"/>
    <w:rsid w:val="001A5832"/>
    <w:rsid w:val="001B28B2"/>
    <w:rsid w:val="001D4157"/>
    <w:rsid w:val="001E4A48"/>
    <w:rsid w:val="001F1FAD"/>
    <w:rsid w:val="00205966"/>
    <w:rsid w:val="00224CB9"/>
    <w:rsid w:val="00231ACF"/>
    <w:rsid w:val="002462E7"/>
    <w:rsid w:val="00264AA9"/>
    <w:rsid w:val="002759FC"/>
    <w:rsid w:val="0028227F"/>
    <w:rsid w:val="00297EE6"/>
    <w:rsid w:val="002A61FD"/>
    <w:rsid w:val="002B2B9D"/>
    <w:rsid w:val="002B6B16"/>
    <w:rsid w:val="002C1449"/>
    <w:rsid w:val="002C2916"/>
    <w:rsid w:val="002D4918"/>
    <w:rsid w:val="002D65A4"/>
    <w:rsid w:val="002E7935"/>
    <w:rsid w:val="00303767"/>
    <w:rsid w:val="00314033"/>
    <w:rsid w:val="00316C84"/>
    <w:rsid w:val="003172DA"/>
    <w:rsid w:val="003254B8"/>
    <w:rsid w:val="00325848"/>
    <w:rsid w:val="00331CF7"/>
    <w:rsid w:val="00347986"/>
    <w:rsid w:val="00352B64"/>
    <w:rsid w:val="00365132"/>
    <w:rsid w:val="00381AD2"/>
    <w:rsid w:val="003929D7"/>
    <w:rsid w:val="003A3EB6"/>
    <w:rsid w:val="003A6914"/>
    <w:rsid w:val="003E0C4A"/>
    <w:rsid w:val="003E2B5A"/>
    <w:rsid w:val="003E5118"/>
    <w:rsid w:val="004247D5"/>
    <w:rsid w:val="00433369"/>
    <w:rsid w:val="00437513"/>
    <w:rsid w:val="0043770E"/>
    <w:rsid w:val="0046298F"/>
    <w:rsid w:val="00465C04"/>
    <w:rsid w:val="00466346"/>
    <w:rsid w:val="00475515"/>
    <w:rsid w:val="004A0277"/>
    <w:rsid w:val="004A4E77"/>
    <w:rsid w:val="004A77A1"/>
    <w:rsid w:val="004B257B"/>
    <w:rsid w:val="004D45C4"/>
    <w:rsid w:val="004D551B"/>
    <w:rsid w:val="0050329F"/>
    <w:rsid w:val="0051155A"/>
    <w:rsid w:val="005123B0"/>
    <w:rsid w:val="005375BF"/>
    <w:rsid w:val="00547CCF"/>
    <w:rsid w:val="00572830"/>
    <w:rsid w:val="005811C3"/>
    <w:rsid w:val="00596D18"/>
    <w:rsid w:val="005B53D2"/>
    <w:rsid w:val="005B60DB"/>
    <w:rsid w:val="005E35A2"/>
    <w:rsid w:val="005E6939"/>
    <w:rsid w:val="006273B2"/>
    <w:rsid w:val="00627CAC"/>
    <w:rsid w:val="0063596F"/>
    <w:rsid w:val="00645003"/>
    <w:rsid w:val="00655C8A"/>
    <w:rsid w:val="006666BF"/>
    <w:rsid w:val="006710C6"/>
    <w:rsid w:val="0069799C"/>
    <w:rsid w:val="006A237A"/>
    <w:rsid w:val="006B100B"/>
    <w:rsid w:val="006B298E"/>
    <w:rsid w:val="006B38FD"/>
    <w:rsid w:val="006B430A"/>
    <w:rsid w:val="006B65D6"/>
    <w:rsid w:val="006D24B3"/>
    <w:rsid w:val="006D3D9B"/>
    <w:rsid w:val="006E15E4"/>
    <w:rsid w:val="006E7FCF"/>
    <w:rsid w:val="006F1636"/>
    <w:rsid w:val="00720D49"/>
    <w:rsid w:val="00721AA5"/>
    <w:rsid w:val="007272C5"/>
    <w:rsid w:val="00731657"/>
    <w:rsid w:val="00742B2C"/>
    <w:rsid w:val="00753B4D"/>
    <w:rsid w:val="0075618A"/>
    <w:rsid w:val="0076168E"/>
    <w:rsid w:val="00765178"/>
    <w:rsid w:val="00775839"/>
    <w:rsid w:val="00787A99"/>
    <w:rsid w:val="00792647"/>
    <w:rsid w:val="007B37BF"/>
    <w:rsid w:val="007C5AA3"/>
    <w:rsid w:val="007D0ECC"/>
    <w:rsid w:val="007D563E"/>
    <w:rsid w:val="007E293C"/>
    <w:rsid w:val="007F6CE2"/>
    <w:rsid w:val="007F7DAF"/>
    <w:rsid w:val="00801B0A"/>
    <w:rsid w:val="00801BED"/>
    <w:rsid w:val="00831483"/>
    <w:rsid w:val="00842866"/>
    <w:rsid w:val="00847415"/>
    <w:rsid w:val="008569E7"/>
    <w:rsid w:val="008576C6"/>
    <w:rsid w:val="00893642"/>
    <w:rsid w:val="008A4585"/>
    <w:rsid w:val="008B5657"/>
    <w:rsid w:val="008E1A25"/>
    <w:rsid w:val="008E3040"/>
    <w:rsid w:val="008F4D08"/>
    <w:rsid w:val="008F7744"/>
    <w:rsid w:val="00923A00"/>
    <w:rsid w:val="00924DD6"/>
    <w:rsid w:val="00941D35"/>
    <w:rsid w:val="009477DD"/>
    <w:rsid w:val="00954D44"/>
    <w:rsid w:val="00985AE0"/>
    <w:rsid w:val="009912C0"/>
    <w:rsid w:val="00993AC9"/>
    <w:rsid w:val="009975C0"/>
    <w:rsid w:val="00997737"/>
    <w:rsid w:val="009C28E0"/>
    <w:rsid w:val="009C6A91"/>
    <w:rsid w:val="009C6F28"/>
    <w:rsid w:val="009D35F9"/>
    <w:rsid w:val="009D7A40"/>
    <w:rsid w:val="009E4FB5"/>
    <w:rsid w:val="009E62EE"/>
    <w:rsid w:val="009F3344"/>
    <w:rsid w:val="009F36BD"/>
    <w:rsid w:val="00A2709A"/>
    <w:rsid w:val="00A36CFD"/>
    <w:rsid w:val="00A40C1B"/>
    <w:rsid w:val="00A42A6D"/>
    <w:rsid w:val="00A47B13"/>
    <w:rsid w:val="00A53B1C"/>
    <w:rsid w:val="00A622D4"/>
    <w:rsid w:val="00A734AC"/>
    <w:rsid w:val="00A76F13"/>
    <w:rsid w:val="00A77709"/>
    <w:rsid w:val="00A84DD4"/>
    <w:rsid w:val="00A858E3"/>
    <w:rsid w:val="00A9495B"/>
    <w:rsid w:val="00A96B69"/>
    <w:rsid w:val="00AA10BE"/>
    <w:rsid w:val="00AA46EA"/>
    <w:rsid w:val="00AC0AA3"/>
    <w:rsid w:val="00AE7138"/>
    <w:rsid w:val="00AE781C"/>
    <w:rsid w:val="00AF08E6"/>
    <w:rsid w:val="00AF23DD"/>
    <w:rsid w:val="00B13521"/>
    <w:rsid w:val="00B13AB9"/>
    <w:rsid w:val="00B20108"/>
    <w:rsid w:val="00B22648"/>
    <w:rsid w:val="00B32E65"/>
    <w:rsid w:val="00B5339A"/>
    <w:rsid w:val="00B85571"/>
    <w:rsid w:val="00B86E97"/>
    <w:rsid w:val="00BA3AE0"/>
    <w:rsid w:val="00BB212D"/>
    <w:rsid w:val="00BC3EAB"/>
    <w:rsid w:val="00BD3659"/>
    <w:rsid w:val="00BF1CDE"/>
    <w:rsid w:val="00BF7020"/>
    <w:rsid w:val="00C14B91"/>
    <w:rsid w:val="00C153B3"/>
    <w:rsid w:val="00C311C0"/>
    <w:rsid w:val="00C34CB7"/>
    <w:rsid w:val="00C46384"/>
    <w:rsid w:val="00C56920"/>
    <w:rsid w:val="00C611CA"/>
    <w:rsid w:val="00C62E0C"/>
    <w:rsid w:val="00C74783"/>
    <w:rsid w:val="00C808C3"/>
    <w:rsid w:val="00CA314B"/>
    <w:rsid w:val="00CA6955"/>
    <w:rsid w:val="00CC1E8B"/>
    <w:rsid w:val="00CC59FC"/>
    <w:rsid w:val="00CE18C6"/>
    <w:rsid w:val="00CE2BF4"/>
    <w:rsid w:val="00CE580F"/>
    <w:rsid w:val="00CF1C5C"/>
    <w:rsid w:val="00CF2FBC"/>
    <w:rsid w:val="00CF7009"/>
    <w:rsid w:val="00D10DD9"/>
    <w:rsid w:val="00D1574C"/>
    <w:rsid w:val="00D17839"/>
    <w:rsid w:val="00D274FD"/>
    <w:rsid w:val="00D27CF5"/>
    <w:rsid w:val="00D564EA"/>
    <w:rsid w:val="00D756B3"/>
    <w:rsid w:val="00D82977"/>
    <w:rsid w:val="00D85374"/>
    <w:rsid w:val="00D94582"/>
    <w:rsid w:val="00D962CA"/>
    <w:rsid w:val="00DA1951"/>
    <w:rsid w:val="00DA6124"/>
    <w:rsid w:val="00DD5A8E"/>
    <w:rsid w:val="00DE187F"/>
    <w:rsid w:val="00DF08CC"/>
    <w:rsid w:val="00DF39EC"/>
    <w:rsid w:val="00DF64A4"/>
    <w:rsid w:val="00E0006A"/>
    <w:rsid w:val="00E132AA"/>
    <w:rsid w:val="00E27DC5"/>
    <w:rsid w:val="00E3744E"/>
    <w:rsid w:val="00E43253"/>
    <w:rsid w:val="00E47F05"/>
    <w:rsid w:val="00E6234D"/>
    <w:rsid w:val="00E63AD3"/>
    <w:rsid w:val="00E805A3"/>
    <w:rsid w:val="00E87490"/>
    <w:rsid w:val="00E91241"/>
    <w:rsid w:val="00E94862"/>
    <w:rsid w:val="00EA0D89"/>
    <w:rsid w:val="00EB090F"/>
    <w:rsid w:val="00EB2BDC"/>
    <w:rsid w:val="00EB33A4"/>
    <w:rsid w:val="00EC0E77"/>
    <w:rsid w:val="00ED0E46"/>
    <w:rsid w:val="00EE3DA4"/>
    <w:rsid w:val="00EE69FA"/>
    <w:rsid w:val="00EF7354"/>
    <w:rsid w:val="00F00107"/>
    <w:rsid w:val="00F01209"/>
    <w:rsid w:val="00F24864"/>
    <w:rsid w:val="00F308C6"/>
    <w:rsid w:val="00F33BCB"/>
    <w:rsid w:val="00F341D3"/>
    <w:rsid w:val="00F34DDF"/>
    <w:rsid w:val="00F51A9D"/>
    <w:rsid w:val="00F55F29"/>
    <w:rsid w:val="00F561DA"/>
    <w:rsid w:val="00F64CFA"/>
    <w:rsid w:val="00F70F49"/>
    <w:rsid w:val="00F74A1F"/>
    <w:rsid w:val="00F77D7F"/>
    <w:rsid w:val="00F83442"/>
    <w:rsid w:val="00F8735B"/>
    <w:rsid w:val="00FA73B5"/>
    <w:rsid w:val="00FC1DD4"/>
    <w:rsid w:val="00FC4230"/>
    <w:rsid w:val="00FF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77"/>
  </w:style>
  <w:style w:type="paragraph" w:styleId="1">
    <w:name w:val="heading 1"/>
    <w:basedOn w:val="a"/>
    <w:next w:val="a"/>
    <w:link w:val="10"/>
    <w:qFormat/>
    <w:rsid w:val="008A4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A45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8A458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8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A458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8A458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8A4585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458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8A4585"/>
    <w:pPr>
      <w:tabs>
        <w:tab w:val="left" w:pos="0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8A4585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CE18C6"/>
    <w:pPr>
      <w:ind w:left="720"/>
      <w:contextualSpacing/>
    </w:pPr>
  </w:style>
  <w:style w:type="paragraph" w:customStyle="1" w:styleId="ConsPlusTitle">
    <w:name w:val="ConsPlusTitle"/>
    <w:rsid w:val="00D75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D75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75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A9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B1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rsid w:val="006B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rsid w:val="006B10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rsid w:val="006B100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4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A45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8A458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8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A458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8A458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8A4585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458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8A4585"/>
    <w:pPr>
      <w:tabs>
        <w:tab w:val="left" w:pos="0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8A4585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CE18C6"/>
    <w:pPr>
      <w:ind w:left="720"/>
      <w:contextualSpacing/>
    </w:pPr>
  </w:style>
  <w:style w:type="paragraph" w:customStyle="1" w:styleId="ConsPlusTitle">
    <w:name w:val="ConsPlusTitle"/>
    <w:rsid w:val="00D756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D75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75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3AB6-AD40-4FA6-AC2E-016EF112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21</Pages>
  <Words>7540</Words>
  <Characters>42982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lln</cp:lastModifiedBy>
  <cp:revision>3</cp:revision>
  <cp:lastPrinted>2015-01-16T12:10:00Z</cp:lastPrinted>
  <dcterms:created xsi:type="dcterms:W3CDTF">2015-01-16T11:14:00Z</dcterms:created>
  <dcterms:modified xsi:type="dcterms:W3CDTF">2015-01-16T12:10:00Z</dcterms:modified>
</cp:coreProperties>
</file>