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9" w:rsidRDefault="00FA1A09" w:rsidP="00FA1A09"/>
    <w:p w:rsidR="00FA1A09" w:rsidRDefault="00FA1A09" w:rsidP="00FA1A09">
      <w:pPr>
        <w:rPr>
          <w:sz w:val="16"/>
          <w:szCs w:val="16"/>
        </w:rPr>
      </w:pPr>
    </w:p>
    <w:p w:rsidR="00FA1A09" w:rsidRDefault="00FA1A09" w:rsidP="00FA1A09">
      <w:pPr>
        <w:rPr>
          <w:sz w:val="16"/>
          <w:szCs w:val="16"/>
        </w:rPr>
      </w:pPr>
    </w:p>
    <w:p w:rsidR="00FA1A09" w:rsidRDefault="00FA1A09" w:rsidP="00FA1A09">
      <w:pPr>
        <w:rPr>
          <w:sz w:val="16"/>
          <w:szCs w:val="16"/>
        </w:rPr>
      </w:pPr>
    </w:p>
    <w:p w:rsidR="00FA1A09" w:rsidRPr="00D3051C" w:rsidRDefault="00FA1A09" w:rsidP="00FA1A09">
      <w:pPr>
        <w:rPr>
          <w:sz w:val="16"/>
          <w:szCs w:val="16"/>
        </w:rPr>
      </w:pPr>
    </w:p>
    <w:p w:rsidR="00FA1A09" w:rsidRDefault="00FA1A09" w:rsidP="00FA1A09"/>
    <w:p w:rsidR="00FA1A09" w:rsidRDefault="00FA1A09" w:rsidP="00FA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1FAC">
        <w:rPr>
          <w:sz w:val="28"/>
          <w:szCs w:val="28"/>
        </w:rPr>
        <w:t xml:space="preserve">На запрос </w:t>
      </w:r>
      <w:proofErr w:type="gramStart"/>
      <w:r w:rsidR="00491FAC">
        <w:rPr>
          <w:sz w:val="28"/>
          <w:szCs w:val="28"/>
        </w:rPr>
        <w:t>участника размещения муниципального заказа разъяснений положений конкурсной</w:t>
      </w:r>
      <w:proofErr w:type="gramEnd"/>
      <w:r w:rsidR="00491FAC">
        <w:rPr>
          <w:sz w:val="28"/>
          <w:szCs w:val="28"/>
        </w:rPr>
        <w:t xml:space="preserve"> документации </w:t>
      </w:r>
      <w:r>
        <w:rPr>
          <w:sz w:val="28"/>
          <w:szCs w:val="28"/>
        </w:rPr>
        <w:t xml:space="preserve">«На право заключить муниципальный контракт на разработку проекта генерального плана </w:t>
      </w:r>
      <w:proofErr w:type="spellStart"/>
      <w:r>
        <w:rPr>
          <w:sz w:val="28"/>
          <w:szCs w:val="28"/>
        </w:rPr>
        <w:t>Новорогачинского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района Волгоградской области»</w:t>
      </w:r>
      <w:r w:rsidR="00E06724">
        <w:rPr>
          <w:sz w:val="28"/>
          <w:szCs w:val="28"/>
        </w:rPr>
        <w:t xml:space="preserve"> </w:t>
      </w:r>
      <w:r w:rsidR="00491FAC">
        <w:rPr>
          <w:sz w:val="28"/>
          <w:szCs w:val="28"/>
        </w:rPr>
        <w:t xml:space="preserve">были подготовлены </w:t>
      </w:r>
      <w:r w:rsidR="00E06724">
        <w:rPr>
          <w:sz w:val="28"/>
          <w:szCs w:val="28"/>
        </w:rPr>
        <w:t>следующие разъяснения:</w:t>
      </w:r>
    </w:p>
    <w:p w:rsidR="00FA1A09" w:rsidRDefault="00FA1A09" w:rsidP="00EA474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097"/>
        <w:gridCol w:w="4360"/>
      </w:tblGrid>
      <w:tr w:rsidR="00E0672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2"/>
                <w:szCs w:val="22"/>
              </w:rPr>
            </w:pPr>
            <w:r w:rsidRPr="00E06724">
              <w:rPr>
                <w:sz w:val="22"/>
                <w:szCs w:val="22"/>
              </w:rPr>
              <w:t>№п\</w:t>
            </w:r>
            <w:proofErr w:type="gramStart"/>
            <w:r w:rsidRPr="00E06724">
              <w:rPr>
                <w:sz w:val="22"/>
                <w:szCs w:val="22"/>
              </w:rPr>
              <w:t>п</w:t>
            </w:r>
            <w:proofErr w:type="gramEnd"/>
          </w:p>
          <w:p w:rsidR="00E06724" w:rsidRPr="00E06724" w:rsidRDefault="00E06724" w:rsidP="00E0672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</w:tcPr>
          <w:p w:rsidR="00E06724" w:rsidRPr="00E06724" w:rsidRDefault="00E06724" w:rsidP="00E06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конкурсной документации</w:t>
            </w:r>
          </w:p>
        </w:tc>
        <w:tc>
          <w:tcPr>
            <w:tcW w:w="4360" w:type="dxa"/>
          </w:tcPr>
          <w:p w:rsidR="00E06724" w:rsidRPr="00E06724" w:rsidRDefault="00E06724" w:rsidP="00E06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Разъяснения</w:t>
            </w:r>
          </w:p>
        </w:tc>
      </w:tr>
      <w:tr w:rsidR="00E06724" w:rsidRPr="00FA054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4"/>
                <w:szCs w:val="24"/>
              </w:rPr>
            </w:pPr>
            <w:r w:rsidRPr="00E06724"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E06724" w:rsidRPr="00E06724" w:rsidRDefault="00E06724" w:rsidP="00E06724">
            <w:r w:rsidRPr="00E06724">
              <w:t>п.4 Технического задания</w:t>
            </w:r>
          </w:p>
          <w:p w:rsidR="00E06724" w:rsidRPr="00E06724" w:rsidRDefault="00E06724" w:rsidP="00E06724">
            <w:r w:rsidRPr="00E06724">
              <w:t xml:space="preserve"> основания для проектирования</w:t>
            </w:r>
          </w:p>
        </w:tc>
        <w:tc>
          <w:tcPr>
            <w:tcW w:w="4360" w:type="dxa"/>
          </w:tcPr>
          <w:p w:rsidR="00E06724" w:rsidRPr="00FA0549" w:rsidRDefault="00E06724" w:rsidP="00E06724">
            <w:pPr>
              <w:rPr>
                <w:highlight w:val="yellow"/>
              </w:rPr>
            </w:pPr>
            <w:r w:rsidRPr="00B75BDC">
              <w:t>Требования Градостроительного кодекса РФ №190-ФЗ и №191-ФЗ  устанавливают порядок разработки и содержания</w:t>
            </w:r>
            <w:r w:rsidR="00913989" w:rsidRPr="00B75BDC">
              <w:t xml:space="preserve"> проекта генерального плана</w:t>
            </w:r>
            <w:r w:rsidRPr="00B75BDC">
              <w:t xml:space="preserve">, </w:t>
            </w:r>
            <w:r w:rsidR="00913989" w:rsidRPr="00B75BDC">
              <w:t xml:space="preserve">основания для проектирования </w:t>
            </w:r>
            <w:r w:rsidRPr="00B75BDC">
              <w:t>см</w:t>
            </w:r>
            <w:r w:rsidR="00913989" w:rsidRPr="00B75BDC">
              <w:t>.</w:t>
            </w:r>
            <w:r w:rsidRPr="00B75BDC">
              <w:t xml:space="preserve"> п.3 ст.24 Градостроительного кодекса РФ от 29.12.2004 №190-ФЗ</w:t>
            </w:r>
          </w:p>
        </w:tc>
      </w:tr>
      <w:tr w:rsidR="00E067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06724" w:rsidRDefault="00913989" w:rsidP="00E06724">
            <w:r>
              <w:t>п. 5 Технического задания.</w:t>
            </w:r>
          </w:p>
          <w:p w:rsidR="00913989" w:rsidRPr="00E06724" w:rsidRDefault="00913989" w:rsidP="00E06724">
            <w:r>
              <w:t>Границы проектирования</w:t>
            </w:r>
          </w:p>
        </w:tc>
        <w:tc>
          <w:tcPr>
            <w:tcW w:w="4360" w:type="dxa"/>
          </w:tcPr>
          <w:p w:rsidR="00913989" w:rsidRDefault="00913989" w:rsidP="0091398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 соответствии с п.1, п.2 ст.23 Градостроительного кодекса РФ 29.12.2004 №190-ФЗ. Подготовка генеральных планов поселений,  осуществляется применительно ко всем территориям поселений. </w:t>
            </w:r>
          </w:p>
          <w:p w:rsidR="00E06724" w:rsidRPr="00E06724" w:rsidRDefault="00913989" w:rsidP="00913989">
            <w:r>
              <w:t xml:space="preserve"> Подготовка генерального плана поселения,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поселения,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пунктам, входящим в состав поселения</w:t>
            </w:r>
            <w:r w:rsidR="0058224E">
              <w:t>.</w:t>
            </w:r>
          </w:p>
        </w:tc>
      </w:tr>
      <w:tr w:rsidR="00E067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06724" w:rsidRDefault="00913989" w:rsidP="00E06724">
            <w:r>
              <w:t>п.6. Технического задания.</w:t>
            </w:r>
          </w:p>
          <w:p w:rsidR="00913989" w:rsidRPr="00E06724" w:rsidRDefault="00913989" w:rsidP="00E06724">
            <w:r>
              <w:t>Исходные данные для проектирования</w:t>
            </w:r>
          </w:p>
        </w:tc>
        <w:tc>
          <w:tcPr>
            <w:tcW w:w="4360" w:type="dxa"/>
          </w:tcPr>
          <w:p w:rsidR="00695856" w:rsidRDefault="00695856" w:rsidP="00E06724">
            <w:r>
              <w:t xml:space="preserve">В соответствии с п.1 ст.2 Закона Волгоградской области от 14 мая 2005г №1058-ОД «Об установлении границ и наделении статусом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и муниципальных образований в его составе» в состав </w:t>
            </w:r>
            <w:proofErr w:type="spellStart"/>
            <w:r>
              <w:t>Новорогачинского</w:t>
            </w:r>
            <w:proofErr w:type="spellEnd"/>
            <w:r>
              <w:t xml:space="preserve"> городского поселения входит </w:t>
            </w:r>
            <w:r w:rsidR="0058224E">
              <w:t xml:space="preserve">- </w:t>
            </w:r>
            <w:r>
              <w:t>рабочий поселок Новый Рогачик.</w:t>
            </w:r>
          </w:p>
          <w:p w:rsidR="00695856" w:rsidRDefault="00695856" w:rsidP="00E06724"/>
          <w:p w:rsidR="00695856" w:rsidRDefault="00695856" w:rsidP="00E06724">
            <w:r>
              <w:t>Техническим задание</w:t>
            </w:r>
            <w:r w:rsidR="0058224E">
              <w:t>м</w:t>
            </w:r>
            <w:r>
              <w:t xml:space="preserve"> не запрещается</w:t>
            </w:r>
            <w:r w:rsidR="0058224E">
              <w:t xml:space="preserve"> П</w:t>
            </w:r>
            <w:r w:rsidR="00D632A0">
              <w:t>одрядчику</w:t>
            </w:r>
            <w:r w:rsidR="0058224E">
              <w:t>, а также Заказчику</w:t>
            </w:r>
            <w:r w:rsidR="00D632A0">
              <w:t xml:space="preserve"> </w:t>
            </w:r>
            <w:r w:rsidR="0058224E">
              <w:t xml:space="preserve">по инициативе Подрядчика </w:t>
            </w:r>
            <w:r w:rsidR="00D632A0">
              <w:t>запрашивать дополнительную информацию для разработки проекта генерального плана, в том числе в региональном представительстве Федеральной службе «</w:t>
            </w:r>
            <w:proofErr w:type="spellStart"/>
            <w:r w:rsidR="00D632A0">
              <w:t>Росреестра</w:t>
            </w:r>
            <w:proofErr w:type="spellEnd"/>
            <w:r w:rsidR="00D632A0">
              <w:t>»</w:t>
            </w:r>
          </w:p>
          <w:p w:rsidR="00E06724" w:rsidRPr="00E06724" w:rsidRDefault="00E06724" w:rsidP="00E06724"/>
        </w:tc>
      </w:tr>
      <w:tr w:rsidR="00E067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06724" w:rsidRDefault="00D632A0" w:rsidP="00E06724">
            <w:r>
              <w:t>п.9 Технического задания.</w:t>
            </w:r>
          </w:p>
          <w:p w:rsidR="00D632A0" w:rsidRPr="00E06724" w:rsidRDefault="00D632A0" w:rsidP="00E06724">
            <w:r>
              <w:t>Требования к общественно-деловой застройке</w:t>
            </w:r>
          </w:p>
        </w:tc>
        <w:tc>
          <w:tcPr>
            <w:tcW w:w="4360" w:type="dxa"/>
          </w:tcPr>
          <w:p w:rsidR="00E06724" w:rsidRDefault="00D632A0" w:rsidP="00E06724">
            <w:r>
              <w:t>Постановление Главы Администрации Волгоградской области от 05.09.2007г. №1574</w:t>
            </w:r>
          </w:p>
          <w:p w:rsidR="00D632A0" w:rsidRPr="00E06724" w:rsidRDefault="00D632A0" w:rsidP="00E06724">
            <w:r>
              <w:t xml:space="preserve">«Об утверждении временных региональных нормативов </w:t>
            </w:r>
            <w:r w:rsidR="001C62F8">
              <w:t>градостроительного проектирования Волгоградской области</w:t>
            </w:r>
          </w:p>
        </w:tc>
      </w:tr>
      <w:tr w:rsidR="00E067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06724" w:rsidRDefault="001C62F8" w:rsidP="00E06724">
            <w:r>
              <w:t>п.11. Технического задания.</w:t>
            </w:r>
          </w:p>
          <w:p w:rsidR="001C62F8" w:rsidRPr="00E06724" w:rsidRDefault="001C62F8" w:rsidP="00E06724">
            <w:r>
              <w:t>Транспортное обслуживание.</w:t>
            </w:r>
          </w:p>
        </w:tc>
        <w:tc>
          <w:tcPr>
            <w:tcW w:w="4360" w:type="dxa"/>
          </w:tcPr>
          <w:p w:rsidR="001C62F8" w:rsidRDefault="00F21D98" w:rsidP="001C62F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Согласно</w:t>
            </w:r>
            <w:r w:rsidR="001C62F8">
              <w:t xml:space="preserve">  п. 3 ст.23 Градостроительного кодекса РФ от 29.12.2004 №190-ФЗ генеральные планы включают в себя карты (схемы) планируемого размещения объектов капитального строительства местного значения, в том числе:</w:t>
            </w:r>
          </w:p>
          <w:p w:rsidR="001C62F8" w:rsidRDefault="001C62F8" w:rsidP="001C62F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lastRenderedPageBreak/>
              <w:t>1) объектов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 в границах поселения, городского округа;</w:t>
            </w:r>
          </w:p>
          <w:p w:rsidR="001C62F8" w:rsidRDefault="001C62F8" w:rsidP="001C62F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2) автомобильных дорог общего пользования, мостов и иных транспортных инженерных сооружений в границах населенных пунктов, входящих в состав поселения, в границах городского округа;</w:t>
            </w:r>
          </w:p>
          <w:p w:rsidR="00F21D98" w:rsidRDefault="001C62F8" w:rsidP="001C62F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3) иных объектов, размещение которых необходимо для осуществления полномочий органов местного самоуправления поселения</w:t>
            </w:r>
            <w:r w:rsidR="00F21D98">
              <w:t>.</w:t>
            </w:r>
            <w:r>
              <w:t xml:space="preserve"> </w:t>
            </w:r>
          </w:p>
          <w:p w:rsidR="00F21D98" w:rsidRDefault="001C62F8" w:rsidP="00F21D9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 xml:space="preserve"> </w:t>
            </w:r>
            <w:r w:rsidR="00F21D98">
              <w:t xml:space="preserve">В соответствии  с ч.5, ч.7 п.1 ст. 14 Федерального закона от 06.10.2003г. №131-ФЗ «Об общих принципах организации местного самоуправления в Российской Федерации, к вопросам местного значения поселения относятся: </w:t>
            </w:r>
          </w:p>
          <w:p w:rsidR="00F21D98" w:rsidRDefault="00F21D98" w:rsidP="00F21D9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F21D98" w:rsidRDefault="00F21D98" w:rsidP="00F21D9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E06724" w:rsidRPr="00E06724" w:rsidRDefault="00E06724" w:rsidP="00E06724"/>
        </w:tc>
      </w:tr>
      <w:tr w:rsidR="00E0672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E06724" w:rsidRPr="00E06724" w:rsidRDefault="00E06724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E06724" w:rsidRDefault="00CD4177" w:rsidP="00E06724">
            <w:r>
              <w:t>п.13 Технического задания.</w:t>
            </w:r>
          </w:p>
          <w:p w:rsidR="00CD4177" w:rsidRPr="00E06724" w:rsidRDefault="00CD4177" w:rsidP="00E06724">
            <w:r>
              <w:t xml:space="preserve">Факторы риска возникновения </w:t>
            </w:r>
            <w:proofErr w:type="gramStart"/>
            <w:r>
              <w:t>чрезвычайных</w:t>
            </w:r>
            <w:proofErr w:type="gramEnd"/>
            <w:r>
              <w:t xml:space="preserve"> </w:t>
            </w:r>
            <w:proofErr w:type="spellStart"/>
            <w:r>
              <w:t>считуаций</w:t>
            </w:r>
            <w:proofErr w:type="spellEnd"/>
            <w:r>
              <w:t xml:space="preserve"> природного и техногенного характера.</w:t>
            </w:r>
          </w:p>
        </w:tc>
        <w:tc>
          <w:tcPr>
            <w:tcW w:w="4360" w:type="dxa"/>
          </w:tcPr>
          <w:p w:rsidR="007B4D30" w:rsidRDefault="007B4D30" w:rsidP="007B4D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</w:t>
            </w:r>
            <w:r w:rsidR="00CD4177">
              <w:t xml:space="preserve">Согласно </w:t>
            </w:r>
            <w:r>
              <w:t>ч.3.</w:t>
            </w:r>
            <w:r w:rsidR="00CD4177">
              <w:t xml:space="preserve"> п. 3</w:t>
            </w:r>
            <w:r>
              <w:t xml:space="preserve"> и ч.2 п.5</w:t>
            </w:r>
            <w:r w:rsidR="00CD4177">
              <w:t xml:space="preserve"> ст.23 Градостроительного кодекса РФ от 29.12.2004 №190-ФЗ</w:t>
            </w:r>
            <w:r>
              <w:t xml:space="preserve">. </w:t>
            </w:r>
          </w:p>
          <w:p w:rsidR="007B4D30" w:rsidRDefault="007B4D30" w:rsidP="007B4D30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proofErr w:type="gramStart"/>
            <w:r>
              <w:t>В соответствии  с ч.8, ч.23 п.1 ст. 14 Федерального закона от 06.10.2003г. №131-ФЗ «Об общих принципах организации местного самоуправления в Российской Федерации, к вопросам местного значения поселения относятся: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proofErr w:type="gramEnd"/>
          </w:p>
          <w:p w:rsidR="007B4D30" w:rsidRDefault="007B4D30" w:rsidP="007B4D30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участие в предупреждении и ликвидации последствий чрезвычайных ситуаций в границах поселения;</w:t>
            </w:r>
          </w:p>
          <w:p w:rsidR="007B4D30" w:rsidRDefault="007B4D30" w:rsidP="007B4D3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E06724" w:rsidRPr="00E06724" w:rsidRDefault="00E06724" w:rsidP="00E06724"/>
        </w:tc>
      </w:tr>
      <w:tr w:rsidR="00F21D9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F21D98" w:rsidRPr="00E06724" w:rsidRDefault="00F21D98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F21D98" w:rsidRDefault="007B4D30" w:rsidP="00E06724">
            <w:r>
              <w:t>п.16 Технического задания.</w:t>
            </w:r>
          </w:p>
          <w:p w:rsidR="007B4D30" w:rsidRPr="00E06724" w:rsidRDefault="007B4D30" w:rsidP="00E06724">
            <w:r>
              <w:t>Этапы работы</w:t>
            </w:r>
          </w:p>
        </w:tc>
        <w:tc>
          <w:tcPr>
            <w:tcW w:w="4360" w:type="dxa"/>
          </w:tcPr>
          <w:p w:rsidR="00F21D98" w:rsidRDefault="00C41EB5" w:rsidP="00E06724">
            <w:r>
              <w:t>Количество этапов при разработке проекта генерального плана поселения строго не регламентируется</w:t>
            </w:r>
            <w:r w:rsidR="004F7864">
              <w:t xml:space="preserve"> действующим</w:t>
            </w:r>
            <w:r>
              <w:t xml:space="preserve"> законодательством. В соответствии  с п.2 ст. 9 Закона Волгоградской области от 24.11.2008г. №1786-ОД «Градостроительный кодекс Волгоградской области» допускается разделение работ по подготовке документов территориального планирования и градостроительного зонирования на отдельные этапы и части.</w:t>
            </w:r>
          </w:p>
          <w:p w:rsidR="004F7864" w:rsidRDefault="004F7864" w:rsidP="00E06724"/>
          <w:p w:rsidR="004F7864" w:rsidRPr="00E06724" w:rsidRDefault="004F7864" w:rsidP="00E06724">
            <w:r>
              <w:t xml:space="preserve"> Выполнение 1 этапа см. п.19 ст.19 Закона Волгоградской области от 24.11.2008г. №1786-ОД «Градостроительный кодекс Волгоградской области и п.3 ст. 24 Градостроительного кодекса РФ от 29.12.2004 №190-ФЗ.</w:t>
            </w:r>
          </w:p>
        </w:tc>
      </w:tr>
      <w:tr w:rsidR="00F21D9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23" w:type="dxa"/>
          </w:tcPr>
          <w:p w:rsidR="00F21D98" w:rsidRPr="00E06724" w:rsidRDefault="00F21D98" w:rsidP="00E0672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4F7864" w:rsidRDefault="004F7864" w:rsidP="00E06724">
            <w:r>
              <w:t xml:space="preserve">п.17 Технического задания. </w:t>
            </w:r>
          </w:p>
          <w:p w:rsidR="00F21D98" w:rsidRPr="00E06724" w:rsidRDefault="004F7864" w:rsidP="00E06724">
            <w:r>
              <w:t>Порядок согласования.</w:t>
            </w:r>
          </w:p>
        </w:tc>
        <w:tc>
          <w:tcPr>
            <w:tcW w:w="4360" w:type="dxa"/>
          </w:tcPr>
          <w:p w:rsidR="00F21D98" w:rsidRDefault="00751993" w:rsidP="00E06724">
            <w:r>
              <w:t xml:space="preserve">   </w:t>
            </w:r>
            <w:r w:rsidR="0058224E">
              <w:t>См. ст. 8 Закона Волгоградской области от 24.11.2008г. №1786-ОД «Градостроительный кодекс Волгоградской области</w:t>
            </w:r>
            <w:r>
              <w:t>.</w:t>
            </w:r>
          </w:p>
          <w:p w:rsidR="00751993" w:rsidRPr="00E06724" w:rsidRDefault="00751993" w:rsidP="00E06724">
            <w:r>
              <w:lastRenderedPageBreak/>
              <w:t xml:space="preserve">   Техническим заданием предусматривается обоснование и защита проектных решений </w:t>
            </w:r>
            <w:proofErr w:type="gramStart"/>
            <w:r>
              <w:t>Подрядчиком</w:t>
            </w:r>
            <w:proofErr w:type="gramEnd"/>
            <w:r>
              <w:t xml:space="preserve"> в том числе и на Градостроительном Совете Волгоградской области, а не процедура согласования, установленная Федеральным законодательством</w:t>
            </w:r>
            <w:r w:rsidR="002A476C">
              <w:t>.</w:t>
            </w:r>
            <w:r>
              <w:t xml:space="preserve"> </w:t>
            </w:r>
          </w:p>
        </w:tc>
      </w:tr>
    </w:tbl>
    <w:p w:rsidR="00E174C7" w:rsidRDefault="00E174C7" w:rsidP="00EA4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p w:rsidR="00FA1A09" w:rsidRDefault="00E174C7" w:rsidP="00E17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же сообщаем Вам, что оценка предложения участника по критерию «Срок выполнения работ» будет осуществляться по единице измерения «календарные дни». Свое предложение по данному критерию участники размещения заказа обязаны указать в заявке на участие в открытом конкурсе, </w:t>
      </w:r>
      <w:proofErr w:type="gramStart"/>
      <w:r>
        <w:rPr>
          <w:sz w:val="28"/>
          <w:szCs w:val="28"/>
        </w:rPr>
        <w:t>заполненную</w:t>
      </w:r>
      <w:proofErr w:type="gramEnd"/>
      <w:r>
        <w:rPr>
          <w:sz w:val="28"/>
          <w:szCs w:val="28"/>
        </w:rPr>
        <w:t xml:space="preserve"> в соответствии с формой 1 «Заявка на участие в открытом конкурсе» конкурсной документации.</w:t>
      </w:r>
    </w:p>
    <w:p w:rsidR="007830F8" w:rsidRDefault="00E174C7" w:rsidP="007830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п.1.1 ст. 29 Федерального закона от 21.07.2005г.</w:t>
      </w:r>
      <w:r w:rsidR="00147CB0">
        <w:rPr>
          <w:sz w:val="28"/>
          <w:szCs w:val="28"/>
        </w:rPr>
        <w:t xml:space="preserve"> №94-ФЗ сроки заключения муниципального контракта по результатам открытого конкурса определены (не ранее чем через десять дней со дня размещения </w:t>
      </w:r>
      <w:r w:rsidR="00B10645">
        <w:rPr>
          <w:sz w:val="28"/>
          <w:szCs w:val="28"/>
        </w:rPr>
        <w:t>на официальном сайте протокола оценки). Конкурсная документация и Форма 2 не обязывает участника определять  сроки выполнения работ по этапам  в календарных датах</w:t>
      </w:r>
      <w:r w:rsidR="007830F8">
        <w:rPr>
          <w:sz w:val="28"/>
          <w:szCs w:val="28"/>
        </w:rPr>
        <w:t xml:space="preserve">, </w:t>
      </w:r>
      <w:proofErr w:type="gramStart"/>
      <w:r w:rsidR="007830F8">
        <w:rPr>
          <w:sz w:val="28"/>
          <w:szCs w:val="28"/>
        </w:rPr>
        <w:t>на</w:t>
      </w:r>
      <w:bookmarkStart w:id="0" w:name="_GoBack"/>
      <w:bookmarkEnd w:id="0"/>
      <w:r w:rsidR="007830F8">
        <w:rPr>
          <w:sz w:val="28"/>
          <w:szCs w:val="28"/>
        </w:rPr>
        <w:t>чало</w:t>
      </w:r>
      <w:proofErr w:type="gramEnd"/>
      <w:r w:rsidR="007830F8">
        <w:rPr>
          <w:sz w:val="28"/>
          <w:szCs w:val="28"/>
        </w:rPr>
        <w:t xml:space="preserve"> и окончание работ можно указать в виде интервала (с момента заключения контракта, в течение 30 календарных дней с момента заключения контракта и т.д.).</w:t>
      </w:r>
    </w:p>
    <w:p w:rsidR="007830F8" w:rsidRDefault="007830F8" w:rsidP="007830F8">
      <w:pPr>
        <w:rPr>
          <w:sz w:val="28"/>
          <w:szCs w:val="28"/>
        </w:rPr>
      </w:pPr>
    </w:p>
    <w:p w:rsidR="007830F8" w:rsidRDefault="007830F8" w:rsidP="007830F8">
      <w:pPr>
        <w:rPr>
          <w:sz w:val="28"/>
          <w:szCs w:val="28"/>
        </w:rPr>
      </w:pPr>
    </w:p>
    <w:p w:rsidR="007830F8" w:rsidRDefault="007830F8" w:rsidP="007830F8">
      <w:pPr>
        <w:rPr>
          <w:sz w:val="28"/>
          <w:szCs w:val="28"/>
        </w:rPr>
      </w:pPr>
    </w:p>
    <w:p w:rsidR="007830F8" w:rsidRDefault="007830F8" w:rsidP="007830F8">
      <w:pPr>
        <w:rPr>
          <w:sz w:val="28"/>
          <w:szCs w:val="28"/>
        </w:rPr>
      </w:pPr>
    </w:p>
    <w:p w:rsidR="007830F8" w:rsidRDefault="007830F8" w:rsidP="007830F8">
      <w:pPr>
        <w:rPr>
          <w:sz w:val="28"/>
          <w:szCs w:val="28"/>
        </w:rPr>
      </w:pPr>
    </w:p>
    <w:p w:rsidR="007830F8" w:rsidRDefault="007830F8" w:rsidP="007830F8">
      <w:pPr>
        <w:rPr>
          <w:sz w:val="28"/>
          <w:szCs w:val="28"/>
        </w:rPr>
      </w:pPr>
    </w:p>
    <w:p w:rsidR="007830F8" w:rsidRPr="00EA4747" w:rsidRDefault="007830F8" w:rsidP="007830F8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                                             С.А. Тюрин.</w:t>
      </w:r>
    </w:p>
    <w:sectPr w:rsidR="007830F8" w:rsidRPr="00EA4747">
      <w:pgSz w:w="11907" w:h="16840" w:code="9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E49"/>
    <w:multiLevelType w:val="hybridMultilevel"/>
    <w:tmpl w:val="1BE6A698"/>
    <w:lvl w:ilvl="0" w:tplc="1B62C9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7E11C8"/>
    <w:multiLevelType w:val="hybridMultilevel"/>
    <w:tmpl w:val="90C0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73B5C"/>
    <w:multiLevelType w:val="hybridMultilevel"/>
    <w:tmpl w:val="F53E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3"/>
    <w:rsid w:val="000345FF"/>
    <w:rsid w:val="00066E94"/>
    <w:rsid w:val="000830DD"/>
    <w:rsid w:val="000B3EF6"/>
    <w:rsid w:val="000B7CC2"/>
    <w:rsid w:val="000C3494"/>
    <w:rsid w:val="000F5DDE"/>
    <w:rsid w:val="00147CB0"/>
    <w:rsid w:val="00156429"/>
    <w:rsid w:val="00157139"/>
    <w:rsid w:val="001615FA"/>
    <w:rsid w:val="001C62F8"/>
    <w:rsid w:val="001D45E2"/>
    <w:rsid w:val="002360F8"/>
    <w:rsid w:val="0025617E"/>
    <w:rsid w:val="00256264"/>
    <w:rsid w:val="00280FE4"/>
    <w:rsid w:val="00297AC7"/>
    <w:rsid w:val="002A476C"/>
    <w:rsid w:val="002D29EE"/>
    <w:rsid w:val="002D7613"/>
    <w:rsid w:val="002E3216"/>
    <w:rsid w:val="002F5C59"/>
    <w:rsid w:val="00321FF0"/>
    <w:rsid w:val="003231D5"/>
    <w:rsid w:val="00324491"/>
    <w:rsid w:val="003324E3"/>
    <w:rsid w:val="0034537C"/>
    <w:rsid w:val="003561A9"/>
    <w:rsid w:val="003D40A3"/>
    <w:rsid w:val="003E3D8B"/>
    <w:rsid w:val="003E5288"/>
    <w:rsid w:val="003E5CD4"/>
    <w:rsid w:val="00454BF5"/>
    <w:rsid w:val="00485E29"/>
    <w:rsid w:val="00491FAC"/>
    <w:rsid w:val="004E7E2F"/>
    <w:rsid w:val="004F7864"/>
    <w:rsid w:val="00512200"/>
    <w:rsid w:val="00527E83"/>
    <w:rsid w:val="00532BC0"/>
    <w:rsid w:val="00542E2A"/>
    <w:rsid w:val="00565DC8"/>
    <w:rsid w:val="0058224E"/>
    <w:rsid w:val="006103FE"/>
    <w:rsid w:val="006220A6"/>
    <w:rsid w:val="00633342"/>
    <w:rsid w:val="00666553"/>
    <w:rsid w:val="00666C54"/>
    <w:rsid w:val="00684D19"/>
    <w:rsid w:val="006869F0"/>
    <w:rsid w:val="00695856"/>
    <w:rsid w:val="006A4FE5"/>
    <w:rsid w:val="006D7217"/>
    <w:rsid w:val="006D737F"/>
    <w:rsid w:val="006F11A4"/>
    <w:rsid w:val="0070794A"/>
    <w:rsid w:val="0071471F"/>
    <w:rsid w:val="00751993"/>
    <w:rsid w:val="007662BE"/>
    <w:rsid w:val="007830F8"/>
    <w:rsid w:val="007A2B4C"/>
    <w:rsid w:val="007A4DFC"/>
    <w:rsid w:val="007B4D30"/>
    <w:rsid w:val="007C7B0B"/>
    <w:rsid w:val="00813A5B"/>
    <w:rsid w:val="00827250"/>
    <w:rsid w:val="00830526"/>
    <w:rsid w:val="00830D09"/>
    <w:rsid w:val="008A770D"/>
    <w:rsid w:val="008B4DD5"/>
    <w:rsid w:val="008D013D"/>
    <w:rsid w:val="008E2DF6"/>
    <w:rsid w:val="00900C49"/>
    <w:rsid w:val="00913989"/>
    <w:rsid w:val="009B0EDC"/>
    <w:rsid w:val="009E6B11"/>
    <w:rsid w:val="00A257FF"/>
    <w:rsid w:val="00A402DB"/>
    <w:rsid w:val="00A5732F"/>
    <w:rsid w:val="00A678AF"/>
    <w:rsid w:val="00B10645"/>
    <w:rsid w:val="00B75BDC"/>
    <w:rsid w:val="00B92B5E"/>
    <w:rsid w:val="00BB0E08"/>
    <w:rsid w:val="00C41EB5"/>
    <w:rsid w:val="00C82664"/>
    <w:rsid w:val="00C910AC"/>
    <w:rsid w:val="00CA1AC4"/>
    <w:rsid w:val="00CD4177"/>
    <w:rsid w:val="00CE4368"/>
    <w:rsid w:val="00D021ED"/>
    <w:rsid w:val="00D047A6"/>
    <w:rsid w:val="00D37726"/>
    <w:rsid w:val="00D632A0"/>
    <w:rsid w:val="00DE2D8F"/>
    <w:rsid w:val="00DF4F7B"/>
    <w:rsid w:val="00E06724"/>
    <w:rsid w:val="00E174C7"/>
    <w:rsid w:val="00E364E1"/>
    <w:rsid w:val="00EA4747"/>
    <w:rsid w:val="00EA5F1A"/>
    <w:rsid w:val="00EC02DA"/>
    <w:rsid w:val="00F21D98"/>
    <w:rsid w:val="00F67B87"/>
    <w:rsid w:val="00F85E26"/>
    <w:rsid w:val="00FA0549"/>
    <w:rsid w:val="00FA1A09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</w:tabs>
      <w:jc w:val="both"/>
    </w:pPr>
    <w:rPr>
      <w:sz w:val="28"/>
    </w:rPr>
  </w:style>
  <w:style w:type="paragraph" w:styleId="20">
    <w:name w:val="Body Text 2"/>
    <w:basedOn w:val="a"/>
    <w:rPr>
      <w:bCs/>
      <w:sz w:val="18"/>
    </w:rPr>
  </w:style>
  <w:style w:type="paragraph" w:styleId="3">
    <w:name w:val="Body Text 3"/>
    <w:basedOn w:val="a"/>
    <w:pPr>
      <w:jc w:val="center"/>
    </w:pPr>
    <w:rPr>
      <w:b/>
      <w:sz w:val="26"/>
    </w:rPr>
  </w:style>
  <w:style w:type="character" w:styleId="a4">
    <w:name w:val="Hyperlink"/>
    <w:rsid w:val="00A257FF"/>
    <w:rPr>
      <w:color w:val="0000FF"/>
      <w:u w:val="single"/>
    </w:rPr>
  </w:style>
  <w:style w:type="paragraph" w:styleId="a5">
    <w:name w:val="Title"/>
    <w:basedOn w:val="a"/>
    <w:qFormat/>
    <w:rsid w:val="00EA4747"/>
    <w:pPr>
      <w:jc w:val="center"/>
    </w:pPr>
    <w:rPr>
      <w:b/>
      <w:bCs/>
      <w:sz w:val="28"/>
      <w:szCs w:val="24"/>
    </w:rPr>
  </w:style>
  <w:style w:type="paragraph" w:styleId="a6">
    <w:name w:val="Body Text Indent"/>
    <w:basedOn w:val="a"/>
    <w:rsid w:val="006A4FE5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</w:tabs>
      <w:jc w:val="both"/>
    </w:pPr>
    <w:rPr>
      <w:sz w:val="28"/>
    </w:rPr>
  </w:style>
  <w:style w:type="paragraph" w:styleId="20">
    <w:name w:val="Body Text 2"/>
    <w:basedOn w:val="a"/>
    <w:rPr>
      <w:bCs/>
      <w:sz w:val="18"/>
    </w:rPr>
  </w:style>
  <w:style w:type="paragraph" w:styleId="3">
    <w:name w:val="Body Text 3"/>
    <w:basedOn w:val="a"/>
    <w:pPr>
      <w:jc w:val="center"/>
    </w:pPr>
    <w:rPr>
      <w:b/>
      <w:sz w:val="26"/>
    </w:rPr>
  </w:style>
  <w:style w:type="character" w:styleId="a4">
    <w:name w:val="Hyperlink"/>
    <w:rsid w:val="00A257FF"/>
    <w:rPr>
      <w:color w:val="0000FF"/>
      <w:u w:val="single"/>
    </w:rPr>
  </w:style>
  <w:style w:type="paragraph" w:styleId="a5">
    <w:name w:val="Title"/>
    <w:basedOn w:val="a"/>
    <w:qFormat/>
    <w:rsid w:val="00EA4747"/>
    <w:pPr>
      <w:jc w:val="center"/>
    </w:pPr>
    <w:rPr>
      <w:b/>
      <w:bCs/>
      <w:sz w:val="28"/>
      <w:szCs w:val="24"/>
    </w:rPr>
  </w:style>
  <w:style w:type="paragraph" w:styleId="a6">
    <w:name w:val="Body Text Indent"/>
    <w:basedOn w:val="a"/>
    <w:rsid w:val="006A4FE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&#1086;&#1073;&#1097;&#1072;&#1103;%20&#1087;&#1072;&#1087;&#1082;&#1072;\&#1053;&#1080;&#1082;&#1091;&#1083;&#1100;&#1096;&#1080;&#1085;&#1072;%20&#1051;.&#1042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3</Pages>
  <Words>744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6289</CharactersWithSpaces>
  <SharedDoc>false</SharedDoc>
  <HLinks>
    <vt:vector size="6" baseType="variant"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mailto:ra_gorod@volganet.ru-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NikulshinaLV</dc:creator>
  <cp:keywords/>
  <cp:lastModifiedBy>Сергей А. Тюрин</cp:lastModifiedBy>
  <cp:revision>3</cp:revision>
  <cp:lastPrinted>2010-10-08T10:36:00Z</cp:lastPrinted>
  <dcterms:created xsi:type="dcterms:W3CDTF">2010-10-11T11:43:00Z</dcterms:created>
  <dcterms:modified xsi:type="dcterms:W3CDTF">2010-10-11T11:47:00Z</dcterms:modified>
</cp:coreProperties>
</file>